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900" w:line="240"/>
      </w:pP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Informático de Apoyo a la Toma de Decisiones: PERT/CPM, Gestión de Inventarios y Teoría de Decisiones</w:t>
      </w:r>
    </w:p>
    <w:p>
      <w:pPr>
        <w:spacing w:after="0" w:line="240"/>
      </w:pP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Dante Vicente Alvarez Tapia</w:t>
      </w: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Alexander Fermin Chicalla Garcia</w:t>
      </w: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Cristian Chura Peralta</w:t>
      </w: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Jose Antonio Vilcanqui Chambi</w:t>
      </w: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Brayhan Deyvid Quispe Cama</w:t>
      </w: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Escuela Profesional de Ingeniería de Sistemas, Universidad Nacional Jorge Basadre Grohmann</w:t>
      </w: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Investigación Operativa II</w:t>
      </w: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MSc. Manuel Yuri Apaza Valencia</w:t>
      </w:r>
    </w:p>
    <w:p>
      <w:pPr>
        <w:spacing w:after="0" w:line="4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 de octubre de 2026</w:t>
      </w:r>
    </w:p>
    <w:p>
      <w:pPr>
        <w:sectPr>
          <w:headerReference w:type="default" r:id="rId7"/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spacing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Informático de Apoyo a la Toma de Decisiones: PERT/CPM, Gestión de Inventarios y Teoría de Decisiones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Introducción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La toma de decisiones en las organizaciones requiere herramientas que conviertan datos en información útil y comparable. La Investigación Operativa aporta modelos matemáticos para planificar proyectos, controlar existencias y elegir entre alternativas bajo incertidumbre; sin embargo, su aplicación manual es lenta y propensa a errores.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informe describe el desarrollo de un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sistema web único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implementa las tres alternativas propuestas en el instructivo: (1) PERT/CPM para la gestión de proyectos, (2) modelos de inventarios (EOQ, punto de reorden, revisión continua y periódica, ABC) y (3) teoría de decisiones (criterios clásicos, valor esperado y árboles de decisión). El sistema se construyó con HTML, CSS y JavaScript en el cliente, Node.js con Express en el servidor y SQL Server como base de datos, y sus resultados se validaron contra cálculos manuales.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documento sigue la estructura exigida por el instructivo: planteamiento del problema, objetivos, justificación, marco teórico, formulación matemática, análisis y diseño, herramientas, implementación, caso práctico, resultados y validación, conclusiones, referencias y anexos.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Planteamiento y descripción del problema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plantean tres situaciones típicas de una organización, tratadas como escenarios simulados claramente identificados: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Gestión de proyectos.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Una empresa necesita saber cuánto durará un proyecto, qué actividades no admiten retraso y qué probabilidad existe de terminar dentro de un plazo comprometido, además de controlar el avance real frente al planificado.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Gestión de inventarios.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Una empresa comercial mantiene productos con distinta demanda y costos. Pedir mucho incrementa el costo de mantener; pedir poco incrementa el costo de ordenar y el riesgo de quedarse sin stock. Se requiere definir cuánto y cuándo pedir y detectar productos en riesgo.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Decisión bajo incertidumbre.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Una empresa evalúa construir una planta grande, pequeña o no construir, sin conocer con certeza si el mercado será favorable; además debe decidir si vale la pena pagar un estudio de mercado antes de decidir (caso Thompson Lumber).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problema general es la ausencia de una herramienta integrada que automatice estos cálculos, los almacene y presente resultados comprensibles para quien decide.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Objetivos del proyecto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 general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Desarrollar e implementar un sistema informático que aplique modelos de Investigación Operativa para resolver problemas de gestión de proyectos, administración de inventarios y toma de decisiones, facilitando el análisis de resultados y la selección de alternativas óptimas.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Objetivos específicos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Analizar problemas empresariales que requieran técnicas de Investigación Operativa.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Diseñar un sistema que permita registrar datos, procesar información y presentar resultados.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Implementar los algoritmos de PERT/CPM, inventarios y teoría de decisiones.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Validar los resultados mediante cálculos manuales y pruebas automáticas.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Elaborar indicadores, reportes y gráficos que apoyen la toma de decisiones.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Justificación de la solución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Técnica: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separar los algoritmos (servicios puros, sin acceso a datos) del resto de la aplicación permite probarlos de forma aislada; se dispone de 116 pruebas automáticas que se ejecutan en cada cambio mediante GitHub Actions.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Económica y operativa: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el sistema reduce costos de inventario al calcular la cantidad económica de pedido, evita quiebres de stock mediante alertas, ayuda a controlar plazos al identificar la ruta crítica y el retraso real, y mejora las decisiones al comparar criterios y valores esperados de forma inmediata.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Académica: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consolida en una sola plataforma los temas de la asignatura y muestra el desarrollo paso a paso de cada fórmula, lo que facilita el aprendizaje y la verificación.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Alcance: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el instructivo indica elegir una alternativa por grupo; en este trabajo se implementaron las tres para integrar toda la asignatura.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Marco teórico del modelo de Investigación Operativa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PERT/CPM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Método de la Ruta Crítica (CPM)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Técnica de Evaluación y Revisión de Programas (PERT)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representan un proyecto como un conjunto de actividades con relaciones de precedencia. CPM usa duraciones determinísticas; PERT modela la incertidumbre con tres estimaciones (optimista, más probable y pesimista) y una distribución beta, cuya media y varianza se aproximan con fórmulas simples.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ruta crítica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es la secuencia de actividades sin holgura que determina la duración mínima del proyecto. Bajo el teorema central del límite, la duración total se aproxima a una normal con media igual a la suma de los tiempos esperados de la ruta crítica y varianza igual a la suma de sus varianzas (Hillier y Lieberman, 2015; Taha, 2017).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Modelos de inventarios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modelo EOQ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minimiza la suma de costos de ordenar y de mantener bajo demanda constante y conocida. Cuando la demanda es variable y el plazo de entrega no es nulo se añade un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stock de seguridad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que protege contra faltantes con un nivel de servicio dado, y se define 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punto de reorden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En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revisión continua (Q, R)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 pide una cantidad fija al alcanzar R; en la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revisión periódica (T, M)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se revisa cada T unidades de tiempo y se pide lo necesario para llegar al nivel máximo M. 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análisis ABC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(principio de Pareto) clasifica los productos por su valor anual de consumo para priorizar el control (Heizer y Render, 2015; Taha, 2017).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Teoría de decisiones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Una decisión se modela con alternativas, estados de la naturaleza y pagos. Bajo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incertidumbre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(sin probabilidades) se aplican: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Maximax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(optimista),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Maximin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(pesimista),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Hurwicz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(combinación con coeficiente de optimismo α),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Laplace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(estados equiprobables) y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Savage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(minimizar el máximo arrepentimiento). Bajo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riesgo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(con probabilidades) se usa 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valor monetario esperado (VME)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y el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valor esperado de la información perfecta (VEIP)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Las decisiones secuenciales se resuelven con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árboles de decisión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mediante inducción hacia atrás (roll-back): se promedian los nodos de azar y se elige el mejor valor en los nodos de decisión (Render et al., 2016; Winston, 2005).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Formulación matemática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PERT/CPM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Variables: para cada actividad i, duración tᵢ (o estimaciones oᵢ, mᵢ, pᵢ) y conjunto de predecesoras Pred(i).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tₑ = (o + 4m + p) / 6          σ² = ((p − o) / 6)²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ESᵢ = máx{ EFⱼ : j ∈ Pred(i) }          EFᵢ = ESᵢ + tᵢ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LFᵢ = mín{ LSₖ : i ∈ Pred(k) }          LSᵢ = LFᵢ − tᵢ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Holgura total = LS − ES          Crítica ⇔ holgura = 0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Te = Σ tₑ (ruta crítica)     σ² = Σ σ² (ruta crítica)     z = (plazo − Te)/σ     P = Φ(z)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plazo asociado a una probabilidad objetivo es plazo = Te + z·σ, con z = Φ⁻¹(probabilidad). La función de distribución normal Φ(z) se evalúa con la aproximación racional de Abramowitz y Stegun (1964). El avance planificado de una actividad al día t es (t − ES)/duración, acotado entre 0 % y 100 %; el avance del proyecto es el promedio ponderado por duración.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Inventarios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Parámetros: D demanda anual, S costo de ordenar, c costo unitario, i tasa de mantenimiento, a costo de almacenamiento por unidad, L plazo de entrega (días), σd desviación diaria de la demanda, z valor normal del nivel de servicio.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H = i·c + a          Q* = √(2·D·S / H)          N = D / Q*          T = días / N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CT = D·c + (D/Q)·S + (Q/2)·H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d = D / días          SS = z·σd·√L          ROP = d·L + SS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Revisión periódica:   M = d·(T + L) + z·σd·√(T + L)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Análisis ABC: los productos se ordenan por D·c descendente; se calcula el porcentaje acumulado y se asigna A hasta el corte 80 %, B hasta 95 % y C el resto (cortes configurables). Alertas: agotado (stock 0), riesgo (stock menor que d·L), pedir (stock ≤ ROP sin pedido en camino), en camino (pedido pendiente) y OK.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Teoría de decisiones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Sea pᵢⱼ el pago de la alternativa i en el estado j y qⱼ su probabilidad.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Maximax = máxᵢ máxⱼ pᵢⱼ          Maximin = máxᵢ mínⱼ pᵢⱼ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Hurwicz(i) = α·máxⱼ pᵢⱼ + (1 − α)·mínⱼ pᵢⱼ          Laplace(i) = (1/n)·Σⱼ pᵢⱼ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Savage: rᵢⱼ = máxₖ pₖⱼ − pᵢⱼ ; se elige mínᵢ máxⱼ rᵢⱼ</w:t>
      </w:r>
    </w:p>
    <w:p>
      <w:pPr>
        <w:spacing w:after="120" w:before="120" w:line="360"/>
        <w:jc w:val="left"/>
      </w:pPr>
      <w:r>
        <w:rPr>
          <w:rFonts w:ascii="Cambria Math" w:cs="Cambria Math" w:eastAsia="Cambria Math" w:hAnsi="Cambria Math"/>
          <w:i/>
          <w:iCs/>
          <w:sz w:val="24"/>
          <w:szCs w:val="24"/>
        </w:rPr>
        <w:t xml:space="preserve">VME(i) = Σⱼ qⱼ·pᵢⱼ          VEcIP = Σⱼ qⱼ·máxᵢ pᵢⱼ          VEIP = VEcIP − máxᵢ VME(i)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Para minimizar costos se intercambian máximos y mínimos. En árboles: valor(nodo de azar) = Σ probabilidad × valor(hijo); valor(nodo de decisión) = máx (o mín) de [valor de la rama + valor del hijo].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Análisis y diseño del sistema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Requerimientos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Requerimientos del sistema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226"/>
      </w:tblGrid>
      <w:tr>
        <w:trPr>
          <w:tblHeader/>
        </w:trPr>
        <w:tc>
          <w:tcPr>
            <w:tcW w:type="dxa" w:w="18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Tipo</w:t>
            </w:r>
          </w:p>
        </w:tc>
        <w:tc>
          <w:tcPr>
            <w:tcW w:type="dxa" w:w="7226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Requerimiento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Registrar, editar, consultar y eliminar proyectos, productos, proveedores, movimientos, pedidos, decisiones y árboles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Calcular ruta crítica, holguras, probabilidad de plazo, EOQ, ROP, políticas de revisión, ABC, criterios de decisión y roll-back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Mostrar tablas, diagramas (red, Gantt, árbol) y gráficos (Pareto, costos, diente de sierra)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Alertas de stock y de actividades atrasadas; informe imprimible por módulo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 funcional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Cálculo inmediato (debounce 350 ms), validación de datos con mensajes claros, código probado automáticamente, diseño adaptable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Arquitectura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Arquitectura cliente–servidor en tres capas. El navegador consume una API REST JSON; los controladores validan los datos y consultan SQL Server; los algoritmos residen en servicios puros que no dependen de la base de datos (véase la Figura 1).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Arquitectura del sistema</w:t>
      </w:r>
    </w:p>
    <w:p>
      <w:pPr>
        <w:keepNext/>
        <w:spacing w:after="60"/>
        <w:jc w:val="left"/>
      </w:pPr>
      <w:r>
        <w:drawing>
          <wp:inline distT="0" distB="0" distL="0" distR="0">
            <wp:extent cx="5581650" cy="1323975"/>
            <wp:effectExtent t="0" r="0" b="0" l="0"/>
            <wp:docPr id="1" name="fig1" descr="Arquitectura del sistema" title="Arquitectura del sistem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Flujo de procesamiento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Flujo general de una operación de cálculo</w:t>
      </w:r>
    </w:p>
    <w:p>
      <w:pPr>
        <w:keepNext/>
        <w:spacing w:after="60"/>
        <w:jc w:val="left"/>
      </w:pPr>
      <w:r>
        <w:drawing>
          <wp:inline distT="0" distB="0" distL="0" distR="0">
            <wp:extent cx="3057525" cy="7981950"/>
            <wp:effectExtent t="0" r="0" b="0" l="0"/>
            <wp:docPr id="1" name="fig2" descr="Flujo general de una operación de cálculo" title="Flujo general de una operación de cálcu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798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flujo del algoritmo CPM/PERT</w:t>
      </w:r>
    </w:p>
    <w:p>
      <w:pPr>
        <w:keepNext/>
        <w:spacing w:after="60"/>
        <w:jc w:val="left"/>
      </w:pPr>
      <w:r>
        <w:drawing>
          <wp:inline distT="0" distB="0" distL="0" distR="0">
            <wp:extent cx="2876550" cy="7410450"/>
            <wp:effectExtent t="0" r="0" b="0" l="0"/>
            <wp:docPr id="1" name="fig3" descr="Diagrama de flujo del algoritmo CPM/PERT" title="Diagrama de flujo del algoritmo CPM/PE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741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Base de datos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Modelo relacional en SQL Server con 12 tablas organizadas por módulo, con claves foráneas, restricciones CHECK (valores no negativos, estados válidos) y eliminación en cascada de los datos dependientes. Los scripts están numerados en la carpeta database/ (00 a 99).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4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Modelo entidad–relación</w:t>
      </w:r>
    </w:p>
    <w:p>
      <w:pPr>
        <w:keepNext/>
        <w:spacing w:after="60"/>
        <w:jc w:val="left"/>
      </w:pPr>
      <w:r>
        <w:drawing>
          <wp:inline distT="0" distB="0" distL="0" distR="0">
            <wp:extent cx="5581650" cy="3133725"/>
            <wp:effectExtent t="0" r="0" b="0" l="0"/>
            <wp:docPr id="1" name="fig4" descr="Modelo entidad–relación" title="Modelo entidad–re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Interfaz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Un portal de entrada enlaza las tres páginas de módulos. Cada módulo usa pestañas (por ejemplo, Planificación y Gantt/seguimiento en PERT), formularios con recálculo automático. Se incluye hoja de estilos de impresión para generar informes en PDF desde el navegador.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Herramientas tecnológicas utilizadas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Tecnologías utilizadas por capa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700"/>
        <w:gridCol w:w="2900"/>
        <w:gridCol w:w="4426"/>
      </w:tblGrid>
      <w:tr>
        <w:trPr>
          <w:tblHeader/>
        </w:trPr>
        <w:tc>
          <w:tcPr>
            <w:tcW w:type="dxa" w:w="17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Capa</w:t>
            </w:r>
          </w:p>
        </w:tc>
        <w:tc>
          <w:tcPr>
            <w:tcW w:type="dxa" w:w="29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Tecnología</w:t>
            </w:r>
          </w:p>
        </w:tc>
        <w:tc>
          <w:tcPr>
            <w:tcW w:type="dxa" w:w="4426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Frontend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HTML5, CSS3, JavaScript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Interfaz, formularios, diagramas SVG (árbol, red, Gantt)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Gráficos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Chart.js 4.4.1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Pareto, curva de costos, diente de sierra, comparación de criterios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Backend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Node.js 22, Express 4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API REST y servidor de archivos estáticos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Base de datos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SQL Server, paquete mssql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Persistencia; autenticación de Windows (msnodesqlv8) o SQL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Pruebas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node:test (integrado en Node)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116 pruebas de algoritmos y controladores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Control de versiones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Git y GitHub, GitHub Actions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Historial por módulos e integración continua</w:t>
            </w:r>
          </w:p>
        </w:tc>
      </w:tr>
      <w:tr>
        <w:trPr>
          <w:cantSplit/>
        </w:trPr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Validación externa</w:t>
            </w:r>
          </w:p>
        </w:tc>
        <w:tc>
          <w:tcPr>
            <w:tcW w:type="dxa" w:w="29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POM-QM for Windows (opcional)</w:t>
            </w:r>
          </w:p>
        </w:tc>
        <w:tc>
          <w:tcPr>
            <w:tcW w:type="dxa" w:w="4426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Contraste de resultados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Implementación y descripción de los módulos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Estructura del código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backend/server.js            servidor Express (/api/pert, /api/inventario, /api/decisiones)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backend/services/            criterios, arbolDecision, eoq, revision, abc, cpm, seguimiento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backend/controllers/         validación y acceso a datos por módulo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backend/routes/              definición de endpoints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backend/tests/               116 pruebas automáticas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frontend/pages/              decisiones.html, inventario.html, pert.html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frontend/js/{common,decisiones,inventario,pert}/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database/                    00_create ... 03_schema, 99_seed_data</w:t>
      </w:r>
    </w:p>
    <w:p>
      <w:pPr>
        <w:spacing w:after="0" w:line="240"/>
      </w:pP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controladores se envuelven con un manejador común que traduce los errores de validación a HTTP 400, los recursos inexistentes a 404 y los fallos inesperados a 500, siempre con la forma {ok:false, error}. Las operaciones críticas, como recibir una orden de pedido (actualiza la orden y registra el movimiento de entrada), se ejecutan en una transacción.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Módulo Teoría de decisiones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Permite definir alternativas, estados de la naturaleza, probabilidades y pagos, y elegir maximizar o minimizar. Calcula los cinco criterios, la matriz de arrepentimiento y la información perfecta, y marca la alternativa recomendada. El constructor de árboles admite nodos de decisión, azar y terminales con cualquier número de ramas y costos por rama, evalúa con roll-back y dibuja el árbol resaltando la rama óptima.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5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Matriz de pagos y criterios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4038600"/>
            <wp:effectExtent t="0" r="0" b="0" l="0"/>
            <wp:docPr id="1" name="fig5" descr="Matriz de pagos y criterios" title="Matriz de pagos y criter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6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Árbol de decisión evaluado (caso Thompson Lumber)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5676900"/>
            <wp:effectExtent t="0" r="0" b="0" l="0"/>
            <wp:docPr id="1" name="fig6" descr="Árbol de decisión evaluado (caso Thompson Lumber)" title="Árbol de decisión evaluado (caso Thompson Lumber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Módulo Inventarios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Gestiona proveedores, productos, movimientos de stock y órdenes de pedido. Para cada producto calcula EOQ, costos anuales, stock de seguridad, punto de reorden y compara las políticas de revisión continua y periódica; genera la curva de costos y la simulación en diente de sierra. Clasifica los productos con ABC y emite alertas de agotado, riesgo, pedir y en camino.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7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Análisis EOQ y políticas de revisión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6686550"/>
            <wp:effectExtent t="0" r="0" b="0" l="0"/>
            <wp:docPr id="1" name="fig7" descr="Análisis EOQ y políticas de revisión" title="Análisis EOQ y políticas de revis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668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8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Clasificación ABC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4429125"/>
            <wp:effectExtent t="0" r="0" b="0" l="0"/>
            <wp:docPr id="1" name="fig8" descr="Clasificación ABC" title="Clasificación A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9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Alertas de inventario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3400425"/>
            <wp:effectExtent t="0" r="0" b="0" l="0"/>
            <wp:docPr id="1" name="fig9" descr="Alertas de inventario" title="Alertas de inventa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Módulo PERT/CPM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Registra proyectos con actividades determinísticas o con tres estimaciones y sus predecesoras; detecta ciclos y predecesoras inexistentes; calcula tiempos, holguras y rutas críticas (incluso múltiples), la probabilidad de cumplir un plazo y el plazo para una probabilidad dada. Dibuja la red de actividades y el diagrama de Gantt, y permite registrar el avance real para compararlo con el planificado y clasificar las actividades como completadas, en plazo, adelantadas, atrasadas, sin iniciar o en curso.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10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Resultados PERT/CPM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4600575"/>
            <wp:effectExtent t="0" r="0" b="0" l="0"/>
            <wp:docPr id="1" name="fig10" descr="Resultados PERT/CPM" title="Resultados PERT/C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11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red (nodos de actividad)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1419225"/>
            <wp:effectExtent t="0" r="0" b="0" l="0"/>
            <wp:docPr id="1" name="fig11" descr="Diagrama de red (nodos de actividad)" title="Diagrama de red (nodos de activida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Figura 12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Diagrama de Gantt y seguimiento</w:t>
      </w:r>
    </w:p>
    <w:p>
      <w:pPr>
        <w:keepNext/>
        <w:spacing w:after="60"/>
        <w:jc w:val="left"/>
      </w:pPr>
      <w:r>
        <w:drawing>
          <wp:inline distT="0" distB="0" distL="0" distR="0">
            <wp:extent cx="5400675" cy="6496050"/>
            <wp:effectExtent t="0" r="0" b="0" l="0"/>
            <wp:docPr id="1" name="fig12" descr="Diagrama de Gantt y seguimiento" title="Diagrama de Gantt y seguimi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649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Caso práctico y datos utilizados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datos corresponden a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escenarios simulados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incluidos en el script 99_seed_data.sql para poder reproducir las demostraciones.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Teoría de decisiones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Planta con estados favorable y desfavorable (probabilidad 0.5 cada uno) y α = 0.8: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3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Matriz de pagos del caso de decisión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2713"/>
        <w:gridCol w:w="2713"/>
      </w:tblGrid>
      <w:tr>
        <w:trPr>
          <w:tblHeader/>
        </w:trPr>
        <w:tc>
          <w:tcPr>
            <w:tcW w:type="dxa" w:w="36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Alternativa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Favorable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Desfavorable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grande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200,000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−180,000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pequeña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100,000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−20,000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 hacer nada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Caso secuencial (Thompson Lumber): estudio de mercado con costo 10,000; P(resultado positivo) = 0.45; P(favorable | positivo) = 0.78; P(favorable | negativo) = 0.27; sin estudio, P(favorable) = 0.5.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Inventarios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Producto con D = 1,000 unidades/año, S = 10, c = 20, i = 10 %, a = 0.5, L = 5 días, σd = 1.5 y nivel de servicio 95 %. Para comparar políticas: D = 3,650, S = 50, c = 10, i = 20 %, L = 5, T = 30, σd = 2. Para ABC: valores anuales 50k, 20k, 10k, 8k, 7k y 5k. Se cargan además seis productos de ejemplo con movimientos y un pedido en camino.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PERT/CPM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Proyecto de ocho actividades (A a H) con tres estimaciones cada una, registrado en la base de datos; y la red mínima A(3), B(2), C(4←A), D(5←A,B), E(2←C,D) para verificar el CPM determinístico.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Resultados, pruebas y validación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Cada resultado del sistema se contrastó con un cálculo manual independiente. El detalle completo está en docs/evidencias_pruebas/validacion.md.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Teoría de decisiones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4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Validación del módulo de teoría de decisiones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00"/>
        <w:gridCol w:w="1700"/>
        <w:gridCol w:w="1700"/>
        <w:gridCol w:w="2626"/>
      </w:tblGrid>
      <w:tr>
        <w:trPr>
          <w:tblHeader/>
        </w:trPr>
        <w:tc>
          <w:tcPr>
            <w:tcW w:type="dxa" w:w="30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Criterio</w:t>
            </w:r>
          </w:p>
        </w:tc>
        <w:tc>
          <w:tcPr>
            <w:tcW w:type="dxa" w:w="17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Manual</w:t>
            </w:r>
          </w:p>
        </w:tc>
        <w:tc>
          <w:tcPr>
            <w:tcW w:type="dxa" w:w="17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Sistema</w:t>
            </w:r>
          </w:p>
        </w:tc>
        <w:tc>
          <w:tcPr>
            <w:tcW w:type="dxa" w:w="2626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Decisión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Maximax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200,000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grande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Maximin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No hacer nada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Hurwicz (α=0.8)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124,000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124,000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grande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Laplace / VME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pequeña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Savage (arrepentimiento máx.)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100,000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Planta pequeña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Árbol con estudio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49,200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49,200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Realizar estudio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Árbol sin estudio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40,000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40,000</w:t>
            </w:r>
          </w:p>
        </w:tc>
        <w:tc>
          <w:tcPr>
            <w:tcW w:type="dxa" w:w="2626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Interpretación: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con probabilidades conocidas conviene la planta pequeña (VME 40,000); el estudio de mercado eleva el valor esperado a 49,200, por lo que vale la pena pagar hasta 9,200 por la información.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Inventarios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5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Validación del módulo de inventarios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2713"/>
        <w:gridCol w:w="2713"/>
      </w:tblGrid>
      <w:tr>
        <w:trPr>
          <w:tblHeader/>
        </w:trPr>
        <w:tc>
          <w:tcPr>
            <w:tcW w:type="dxa" w:w="36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Magnitud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Manual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 = i·c + 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2.5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2.5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Q*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89.4427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89.4427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11.1803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11.1803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 (días)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32.6466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32.6466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Costo total anual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20,223.607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20,223.607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Stock de seguridad (95 %)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5.517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5.517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Punto de reorden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19.2156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19.2156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Continua: Q* / R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427.2002 / 57.356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427.2002 / 57.356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Costo continua vs periódica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37,369.112 vs 37,447.257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37,369.112 vs 37,447.257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ABC (cortes 80/95)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A=3, B=2, C=1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A=3, B=2, C=1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Interpretación: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pedir 89 unidades cada 33 días minimiza el costo; con el stock de seguridad calculado se mantiene un 95 % de nivel de servicio. En el caso comparado, la revisión continua resulta más barata en 78.15 por año que la periódica.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PERT/CPM</w:t>
      </w:r>
    </w:p>
    <w:p>
      <w:pPr>
        <w:keepNext/>
        <w:spacing w:after="0" w:line="48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Tabla 6</w:t>
      </w:r>
    </w:p>
    <w:p>
      <w:pPr>
        <w:keepNext/>
        <w:spacing w:after="120" w:line="240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Validación del módulo PERT/CPM</w:t>
      </w:r>
    </w:p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00"/>
        <w:gridCol w:w="2713"/>
        <w:gridCol w:w="2713"/>
      </w:tblGrid>
      <w:tr>
        <w:trPr>
          <w:tblHeader/>
        </w:trPr>
        <w:tc>
          <w:tcPr>
            <w:tcW w:type="dxa" w:w="3600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Magnitud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Manual</w:t>
            </w:r>
          </w:p>
        </w:tc>
        <w:tc>
          <w:tcPr>
            <w:tcW w:type="dxa" w:w="2713"/>
            <w:tcBorders>
              <w:top w:val="single" w:color="000000" w:sz="8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Red mínima: duración y ruta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10; A-D-E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10; A-D-E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Dos actividades en serie: Te, σ²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8; 2.7778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8; 2.7778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P(T ≤ 10)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0.8849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0.8849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Proyecto de ejemplo: duración / ruta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 días; A-B-D-F-H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18 días; A-B-D-F-H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σ del proyecto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1.8559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1.8559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P(T ≤ 20)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85.94 %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85.94 %</w:t>
            </w:r>
          </w:p>
        </w:tc>
      </w:tr>
      <w:tr>
        <w:trPr>
          <w:cantSplit/>
        </w:trPr>
        <w:tc>
          <w:tcPr>
            <w:tcW w:type="dxa" w:w="3600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Plazo con 95 % de confianza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21.05</w:t>
            </w:r>
          </w:p>
        </w:tc>
        <w:tc>
          <w:tcPr>
            <w:tcW w:type="dxa" w:w="2713"/>
            <w:tcBorders>
              <w:top w:val="none" w:color="FFFFFF" w:sz="0"/>
              <w:left w:val="none" w:color="FFFFFF" w:sz="0"/>
              <w:bottom w:val="single" w:color="000000" w:sz="8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21.05</w:t>
            </w:r>
          </w:p>
        </w:tc>
      </w:tr>
    </w:tbl>
    <w:p>
      <w:pPr>
        <w:spacing w:after="240" w:line="240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Nota.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Elaboración propia.</w:t>
      </w:r>
    </w:p>
    <w:p>
      <w:pPr>
        <w:spacing w:after="0" w:line="240"/>
      </w:pP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Interpretación: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el proyecto de ejemplo dura 18 días con ruta crítica A-B-D-F-H; comprometer 20 días tiene 85.9 % de probabilidad de cumplimiento y, para 95 % de confianza, se debería ofrecer un plazo de unos 21 días.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Pruebas automáticas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ejecutan 116 pruebas (node --test) que cubren los algoritmos, las validaciones y los controladores (con la base de datos simulada), y se repiten en GitHub Actions en cada push. Además se realizaron pruebas de interfaz en navegador automatizado para los tres módulos y pruebas manuales con SQL Server real.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El contraste con el software POM-QM se documenta en el Anexo C.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Conclusiones y recomendaciones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Conclusiones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implementó un sistema web funcional que integra PERT/CPM, inventarios y teoría de decisiones, con persistencia en SQL Server.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resultados coinciden con los cálculos manuales en todos los casos probados, lo que valida la correcta implementación de los modelos.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Separar los algoritmos de la capa de datos facilitó las pruebas automáticas y reduce el riesgo de errores al modificar el sistema.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Los diagramas y gráficos (red, Gantt, árbol, Pareto, diente de sierra) hacen interpretables los resultados para quien decide.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Cada modelo tiene supuestos: demanda constante en EOQ, normalidad en PERT, probabilidades estimadas en decisiones; los resultados deben interpretarse dentro de ellos.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Recomendaciones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Incorporar autenticación de usuarios y roles antes de un uso en producción.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Ampliar inventarios con descuentos por cantidad y faltantes planificados.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Añadir nivelación de recursos y costos en PERT/CPM (crashing).</w:t>
      </w:r>
    </w:p>
    <w:p>
      <w:pPr>
        <w:pStyle w:val="ListParagraph"/>
        <w:numPr>
          <w:ilvl w:val="0"/>
          <w:numId w:val="2"/>
        </w:numPr>
        <w:spacing w:after="0" w:line="4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Contrastar periódicamente los resultados con POM-QM o datos reales de una organización.</w:t>
      </w:r>
    </w:p>
    <w:p>
      <w:pPr>
        <w:pageBreakBefore/>
        <w:spacing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Referencias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Abramowitz, M., y Stegun, I. A. (1964).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Handbook of mathematical functions with formulas, graphs, and mathematical tables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National Bureau of Standards.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Chart.js Contributors. (s. f.).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Chart.js documentation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https://www.chartjs.org/docs/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Heizer, J., y Render, B. (2015).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Principios de administración de operaciones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(9.ª ed.). Pearson.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Hillier, F. S., y Lieberman, G. J. (2015).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Introducción a la investigación de operaciones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(10.ª ed.). McGraw-Hill.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OpenJS Foundation. (s. f.-a).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Express: Infraestructura web rápida, minimalista y flexible para Node.js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https://expressjs.com/es/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OpenJS Foundation. (s. f.-b).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Node.js documentation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https://nodejs.org/docs/latest/api/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Render, B., Stair, R. M., y Hanna, M. E. (2016).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Métodos cuantitativos para los negocios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(12.ª ed.). Pearson.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Taha, H. A. (2017).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Investigación de operaciones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(10.ª ed.). Pearson.</w:t>
      </w:r>
    </w:p>
    <w:p>
      <w:pPr>
        <w:spacing w:after="0" w:line="480"/>
        <w:ind w:left="720" w:hanging="72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Winston, W. L. (2005).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Investigación de operaciones: Aplicaciones y algoritmos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(4.ª ed.). Thomson.</w:t>
      </w:r>
    </w:p>
    <w:p>
      <w:pPr>
        <w:pageBreakBefore/>
        <w:spacing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Anexos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 A. Código fuente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Repositorio de GitHub: https://github.com/Jose-An608/io2-sistema-decisiones. Carpetas principales: backend/, frontend/, database/ y docs/.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Sistema en línea (Render, con base de datos en Azure SQL): https://io2-sistema-decisiones.onrender.com. Verificación de la conexión a la base de datos: https://io2-sistema-decisiones.onrender.com/api/health. Nota: en el plan gratuito de Render el servicio se suspende tras 15 minutos de inactividad y la primera solicitud puede tardar cerca de un minuto.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 B. Manual de usuario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Archivo docs/manual_usuario.md del repositorio (instalación, uso de los tres módulos y solución de problemas).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 C. Evidencias de validación</w:t>
      </w:r>
    </w:p>
    <w:p>
      <w:pPr>
        <w:spacing w:after="0" w:line="480"/>
        <w:ind w:firstLine="72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Archivo docs/evidencias_pruebas/validacion.md: casos resueltos a mano, comparación con el sistema, trazabilidad con las pruebas y tabla de contraste con POM-QM.</w:t>
      </w:r>
    </w:p>
    <w:p>
      <w:pPr>
        <w:keepNext/>
        <w:spacing w:after="0" w:line="4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Anexo D. Instalación rápida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npm install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copiar .env.example a .env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ejecutar database/00 ... 03 y 99 en SSMS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npm run dev   -&gt;   http://localhost:3000</w:t>
      </w:r>
    </w:p>
    <w:p>
      <w:pPr>
        <w:spacing w:after="0" w:line="24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npm test      -&gt;   116 pruebas</w:t>
      </w:r>
    </w:p>
    <w:sectPr>
      <w:head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image" Target="media/fd56c25b906554808777bbf904fe4587c2ff560d.png"/><Relationship Id="rId10" Type="http://schemas.openxmlformats.org/officeDocument/2006/relationships/image" Target="media/739d0acb7754ff46a2fbe1d063c28864531ebefb.png"/><Relationship Id="rId11" Type="http://schemas.openxmlformats.org/officeDocument/2006/relationships/image" Target="media/67e34289878d06682ae0a7a4c24dde7470f9ccbb.png"/><Relationship Id="rId12" Type="http://schemas.openxmlformats.org/officeDocument/2006/relationships/image" Target="media/aaaa24f7a44ed6687c07a3a6310645b5d2dd3b66.png"/><Relationship Id="rId13" Type="http://schemas.openxmlformats.org/officeDocument/2006/relationships/image" Target="media/b49e2efcdb77fbb941c6abc382bee81b42b41b85.png"/><Relationship Id="rId14" Type="http://schemas.openxmlformats.org/officeDocument/2006/relationships/image" Target="media/1dac9f2ffe5b8419d79b8ac8e99bc82308b913fa.png"/><Relationship Id="rId15" Type="http://schemas.openxmlformats.org/officeDocument/2006/relationships/image" Target="media/6a00ec8fe8dcbfc4e8d51e5cbee870569791c6eb.png"/><Relationship Id="rId16" Type="http://schemas.openxmlformats.org/officeDocument/2006/relationships/image" Target="media/1d3fd3097e7ee71d50d0493aa4f7a26f761c6460.png"/><Relationship Id="rId17" Type="http://schemas.openxmlformats.org/officeDocument/2006/relationships/image" Target="media/d85822f47f83e235deb938bef9f0310cb258663b.png"/><Relationship Id="rId18" Type="http://schemas.openxmlformats.org/officeDocument/2006/relationships/image" Target="media/7a5c2d8ed5c69bca3d27031099d675ab26593fc1.png"/><Relationship Id="rId19" Type="http://schemas.openxmlformats.org/officeDocument/2006/relationships/image" Target="media/86403745a97aaa2eb2e4a1fcc1a529c9e02aa38f.png"/><Relationship Id="rId20" Type="http://schemas.openxmlformats.org/officeDocument/2006/relationships/image" Target="media/9103bca1f0a0fc3e5ef72e7355dab0a5c6129f57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Investigación Operativa II</dc:title>
  <dc:creator>Autor</dc:creator>
  <cp:lastModifiedBy>Un-named</cp:lastModifiedBy>
  <cp:revision>1</cp:revision>
  <dcterms:created xsi:type="dcterms:W3CDTF">2026-10-16T03:51:28.522Z</dcterms:created>
  <dcterms:modified xsi:type="dcterms:W3CDTF">2026-10-16T03:51:28.529Z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