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900" w:line="240"/>
      </w:pP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Informático de Apoyo a la Toma de Decisiones: PERT/CPM, Gestión de Inventarios y Teoría de Decisiones</w:t>
      </w:r>
    </w:p>
    <w:p>
      <w:pPr>
        <w:spacing w:after="0" w:line="240"/>
      </w:pP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Dante Vicente Alvarez Tapia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Alexander Fermin Chicalla Garcia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Cristian Chura Peralta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Jose Antonio Vilcanqui Chambi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Brayhan Deyvid Quispe Cama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Escuela Profesional de Ingeniería de Sistemas, Universidad Nacional Jorge Basadre Grohmann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Investigación Operativa II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MSc. Manuel Yuri Apaza Valencia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 de octubre de 2026</w:t>
      </w:r>
    </w:p>
    <w:p>
      <w:pPr>
        <w:sectPr>
          <w:head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Informático de Apoyo a la Toma de Decisiones: PERT/CPM, Gestión de Inventarios y Teoría de Decisiones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Introducción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toma de decisiones en las organizaciones requiere herramientas que conviertan datos en información útil y comparable. La Investigación Operativa aporta modelos matemáticos para planificar proyectos, controlar existencias y elegir entre alternativas bajo incertidumbre; sin embargo, su aplicación manual es lenta y propensa a errores.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informe describe el desarrollo de un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web único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implementa las tres alternativas propuestas en el instructivo: (1) PERT/CPM para la gestión de proyectos, (2) modelos de inventarios (EOQ, punto de reorden, revisión continua y periódica, ABC) y (3) teoría de decisiones (criterios clásicos, valor esperado y árboles de decisión). El sistema se construyó con HTML, CSS y JavaScript en el cliente, Node.js con Express en el servidor y SQL Server como base de datos, y sus resultados se validaron contra cálculos manuales.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documento sigue la estructura exigida por el instructivo: planteamiento del problema, objetivos, justificación, marco teórico, formulación matemática, análisis y diseño, herramientas, implementación, caso práctico, resultados y validación, conclusiones, referencias y anexos.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Planteamiento y descripción del problema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plantean tres situaciones típicas de una organización, tratadas como escenarios simulados claramente identificados: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Gestión de proyectos.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necesita saber cuánto durará un proyecto, qué actividades no admiten retraso y qué probabilidad existe de terminar dentro de un plazo comprometido, además de controlar el avance real frente al planificado.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Gestión de inventarios.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comercial mantiene productos con distinta demanda y costos. Pedir mucho incrementa el costo de mantener; pedir poco incrementa el costo de ordenar y el riesgo de quedarse sin stock. Se requiere definir cuánto y cuándo pedir y detectar productos en riesgo.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Decisión bajo incertidumbre.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evalúa construir una planta grande, pequeña o no construir, sin conocer con certeza si el mercado será favorable; además debe decidir si vale la pena pagar un estudio de mercado antes de decidir (caso Thompson Lumber).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problema general es la ausencia de una herramienta integrada que automatice estos cálculos, los almacene y presente resultados comprensibles para quien decide.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del proyecto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 general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Desarrollar e implementar un sistema informático que aplique modelos de Investigación Operativa para resolver problemas de gestión de proyectos, administración de inventarios y toma de decisiones, facilitando el análisis de resultados y la selección de alternativas óptimas.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específicos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Analizar problemas empresariales que requieran técnicas de Investigación Operativa.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Diseñar un sistema que permita registrar datos, procesar información y presentar resultados.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Implementar los algoritmos de PERT/CPM, inventarios y teoría de decisiones.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Validar los resultados mediante cálculos manuales y pruebas automáticas.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Elaborar indicadores, reportes y gráficos que apoyen la toma de decisiones.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Justificación de la solución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Técnica: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separar los algoritmos (servicios puros, sin acceso a datos) del resto de la aplicación permite probarlos de forma aislada; se dispone de 116 pruebas automáticas que se ejecutan en cada cambio mediante GitHub Actions.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Económica y operativa: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sistema reduce costos de inventario al calcular la cantidad económica de pedido, evita quiebres de stock mediante alertas, ayuda a controlar plazos al identificar la ruta crítica y el retraso real, y mejora las decisiones al comparar criterios y valores esperados de forma inmediata.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Académica: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consolida en una sola plataforma los temas de la asignatura y muestra el desarrollo paso a paso de cada fórmula, lo que facilita el aprendizaje y la verificación.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Alcance: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instructivo indica elegir una alternativa por grupo; en este trabajo se implementaron las tres para integrar toda la asignatura.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Marco teórico del modelo de Investigación Operativa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Método de la Ruta Crítica (CPM)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Técnica de Evaluación y Revisión de Programas (PERT)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representan un proyecto como un conjunto de actividades con relaciones de precedencia. CPM usa duraciones determinísticas; PERT modela la incertidumbre con tres estimaciones (optimista, más probable y pesimista) y una distribución beta, cuya media y varianza se aproximan con fórmulas simples.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ruta crítica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 la secuencia de actividades sin holgura que determina la duración mínima del proyecto. Bajo el teorema central del límite, la duración total se aproxima a una normal con media igual a la suma de los tiempos esperados de la ruta crítica y varianza igual a la suma de sus varianzas (Hillier y Lieberman, 2015; Taha, 2017).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Modelos de inventarios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 EOQ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minimiza la suma de costos de ordenar y de mantener bajo demanda constante y conocida. Cuando la demanda es variable y el plazo de entrega no es nulo se añade un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stock de seguridad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protege contra faltantes con un nivel de servicio dado, y se define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punto de reorden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En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continua (Q, 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pide una cantidad fija al alcanzar R; en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periódica (T, M)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revisa cada T unidades de tiempo y se pide lo necesario para llegar al nivel máximo M.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ABC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(principio de Pareto) clasifica los productos por su valor anual de consumo para priorizar el control (Heizer y Render, 2015; Taha, 2017).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Una decisión se modela con alternativas, estados de la naturaleza y pagos. Bajo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incertidumbre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(sin probabilidades) se aplican: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Maximax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(optimista),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Maximin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(pesimista),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Hurwicz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(combinación con coeficiente de optimismo α),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Laplace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(estados equiprobables) 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Savage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(minimizar el máximo arrepentimiento). Bajo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riesgo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 probabilidades) se usa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monetario esperado (VME)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esperado de la información perfecta (VEIP)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Las decisiones secuenciales se resuelven con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árboles de decisión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mediante inducción hacia atrás (roll-back): se promedian los nodos de azar y se elige el mejor valor en los nodos de decisión (Render et al., 2016; Winston, 2005).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Formulación matemática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Variables: para cada actividad i, duración tᵢ (o estimaciones oᵢ, mᵢ, pᵢ) y conjunto de predecesoras Pred(i).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tₑ = (o + 4m + p) / 6          σ² = ((p − o) / 6)²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ESᵢ = máx{ EFⱼ : j ∈ Pred(i) }          EFᵢ = ESᵢ + tᵢ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LFᵢ = mín{ LSₖ : i ∈ Pred(k) }          LSᵢ = LFᵢ − tᵢ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Holgura total = LS − ES          Crítica ⇔ holgura = 0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Te = Σ tₑ (ruta crítica)     σ² = Σ σ² (ruta crítica)     z = (plazo − Te)/σ     P = Φ(z)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plazo asociado a una probabilidad objetivo es plazo = Te + z·σ, con z = Φ⁻¹(probabilidad). La función de distribución normal Φ(z) se evalúa con la aproximación racional de Abramowitz y Stegun (1964). El avance planificado de una actividad al día t es (t − ES)/duración, acotado entre 0 % y 100 %; el avance del proyecto es el promedio ponderado por duración.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Parámetros: D demanda anual, S costo de ordenar, c costo unitario, i tasa de mantenimiento, a costo de almacenamiento por unidad, L plazo de entrega (días), σd desviación diaria de la demanda, z valor normal del nivel de servicio.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 = i·c + a          Q* = √(2·D·S / H)          N = D / Q*          T = días / N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CT = D·c + (D/Q)·S + (Q/2)·H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d = D / días          SS = z·σd·√L          ROP = d·L + SS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Revisión periódica:   M = d·(T + L) + z·σd·√(T + L)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Análisis ABC: los productos se ordenan por D·c descendente; se calcula el porcentaje acumulado y se asigna A hasta el corte 80 %, B hasta 95 % y C el resto (cortes configurables). Alertas: agotado (stock 0), riesgo (stock menor que d·L), pedir (stock ≤ ROP sin pedido en camino), en camino (pedido pendiente) y OK.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Sea pᵢⱼ el pago de la alternativa i en el estado j y qⱼ su probabilidad.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Maximax = máxᵢ máxⱼ pᵢⱼ          Maximin = máxᵢ mínⱼ pᵢⱼ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Hurwicz(i) = α·máxⱼ pᵢⱼ + (1 − α)·mínⱼ pᵢⱼ          Laplace(i) = (1/n)·Σⱼ pᵢⱼ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Savage: rᵢⱼ = máxₖ pₖⱼ − pᵢⱼ ; se elige mínᵢ máxⱼ rᵢⱼ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VME(i) = Σⱼ qⱼ·pᵢⱼ          VEcIP = Σⱼ qⱼ·máxᵢ pᵢⱼ          VEIP = VEcIP − máxᵢ VME(i)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minimizar costos se intercambian máximos y mínimos. En árboles: valor(nodo de azar) = Σ probabilidad × valor(hijo); valor(nodo de decisión) = máx (o mín) de [valor de la rama + valor del hijo].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y diseño del sistema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Requerimientos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Requerimientos del sistema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Tipo</w:t>
            </w:r>
          </w:p>
        </w:tc>
        <w:tc>
          <w:tcPr>
            <w:tcW w:type="dxa" w:w="72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Registrar, editar, consultar y eliminar proyectos, productos, proveedores, movimientos, pedidos, decisiones y árboles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Calcular ruta crítica, holguras, probabilidad de plazo, EOQ, ROP, políticas de revisión, ABC, criterios de decisión y roll-back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Mostrar tablas, diagramas (red, Gantt, árbol) y gráficos (Pareto, costos, diente de sierra)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Alertas de stock y de actividades atrasadas; informe imprimible por módulo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Cálculo inmediato (debounce 350 ms), validación de datos con mensajes claros, código probado automáticamente, diseño adaptable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Arquitectura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Arquitectura cliente–servidor en tres capas. El navegador consume una API REST JSON; los controladores validan los datos y consultan SQL Server; los algoritmos residen en servicios puros que no dependen de la base de datos (véase la Figura 1).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Arquitectura del sistema</w:t>
      </w:r>
    </w:p>
    <w:p>
      <w:pPr>
        <w:keepNext/>
        <w:spacing w:after="60"/>
        <w:jc w:val="left"/>
      </w:pPr>
      <w:r>
        <w:drawing>
          <wp:inline distT="0" distB="0" distL="0" distR="0">
            <wp:extent cx="5581650" cy="1323975"/>
            <wp:effectExtent t="0" r="0" b="0" l="0"/>
            <wp:docPr id="1" name="fig1" descr="Arquitectura del sistema" title="Arquitectura del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Flujo de procesamiento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Flujo general de una operación de cálculo</w:t>
      </w:r>
    </w:p>
    <w:p>
      <w:pPr>
        <w:keepNext/>
        <w:spacing w:after="60"/>
        <w:jc w:val="left"/>
      </w:pPr>
      <w:r>
        <w:drawing>
          <wp:inline distT="0" distB="0" distL="0" distR="0">
            <wp:extent cx="3057525" cy="7981950"/>
            <wp:effectExtent t="0" r="0" b="0" l="0"/>
            <wp:docPr id="1" name="fig2" descr="Flujo general de una operación de cálculo" title="Flujo general de una operación de cál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98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flujo del algoritmo CPM/PERT</w:t>
      </w:r>
    </w:p>
    <w:p>
      <w:pPr>
        <w:keepNext/>
        <w:spacing w:after="60"/>
        <w:jc w:val="left"/>
      </w:pPr>
      <w:r>
        <w:drawing>
          <wp:inline distT="0" distB="0" distL="0" distR="0">
            <wp:extent cx="2876550" cy="7410450"/>
            <wp:effectExtent t="0" r="0" b="0" l="0"/>
            <wp:docPr id="1" name="fig3" descr="Diagrama de flujo del algoritmo CPM/PERT" title="Diagrama de flujo del algoritmo CPM/P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741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de datos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Modelo relacional en SQL Server con 12 tablas organizadas por módulo, con claves foráneas, restricciones CHECK (valores no negativos, estados válidos) y eliminación en cascada de los datos dependientes. Los scripts están numerados en la carpeta database/ (00 a 99).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Modelo entidad–relación</w:t>
      </w:r>
    </w:p>
    <w:p>
      <w:pPr>
        <w:keepNext/>
        <w:spacing w:after="60"/>
        <w:jc w:val="left"/>
      </w:pPr>
      <w:r>
        <w:drawing>
          <wp:inline distT="0" distB="0" distL="0" distR="0">
            <wp:extent cx="5581650" cy="3133725"/>
            <wp:effectExtent t="0" r="0" b="0" l="0"/>
            <wp:docPr id="1" name="fig4" descr="Modelo entidad–relación" title="Modelo entidad–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Interfaz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 portal de entrada enlaza las tres páginas de módulos. Cada módulo usa pestañas (por ejemplo, Planificación y Gantt/seguimiento en PERT), formularios con recálculo automático. Se incluye hoja de estilos de impresión para generar informes en PDF desde el navegador.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Herramientas tecnológicas utilizadas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Tecnologías utilizadas por capa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2900"/>
        <w:gridCol w:w="4426"/>
      </w:tblGrid>
      <w:tr>
        <w:trPr>
          <w:tblHeader/>
        </w:trPr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Capa</w:t>
            </w:r>
          </w:p>
        </w:tc>
        <w:tc>
          <w:tcPr>
            <w:tcW w:type="dxa" w:w="29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Tecnología</w:t>
            </w:r>
          </w:p>
        </w:tc>
        <w:tc>
          <w:tcPr>
            <w:tcW w:type="dxa" w:w="44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HTML5, CSS3, JavaScript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Interfaz, formularios, diagramas SVG (árbol, red, Gantt)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Gráficos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Chart.js 4.4.1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Pareto, curva de costos, diente de sierra, comparación de criterios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Node.js 22, Express 4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 REST y servidor de archivos estáticos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Base de datos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SQL Server, paquete mssql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Persistencia; autenticación de Windows (msnodesqlv8) o SQL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Pruebas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node:test (integrado en Node)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116 pruebas de algoritmos y controladores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Control de versiones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y GitHub, GitHub Actions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Historial por módulos e integración continua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Validación externa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POM-QM for Windows (opcional)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Contraste de resultados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Implementación y descripción de los módulos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Estructura del código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backend/server.js            servidor Express (/api/pert, /api/inventario, /api/decisiones)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backend/services/            criterios, arbolDecision, eoq, revision, abc, cpm, seguimiento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backend/controllers/         validación y acceso a datos por módulo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backend/routes/              definición de endpoints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backend/tests/               116 pruebas automáticas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frontend/pages/              decisiones.html, inventario.html, pert.html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frontend/js/{common,decisiones,inventario,pert}/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database/                    00_create ... 03_schema, 99_seed_data</w:t>
      </w:r>
    </w:p>
    <w:p>
      <w:pPr>
        <w:spacing w:after="0" w:line="240"/>
      </w:pP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controladores se envuelven con un manejador común que traduce los errores de validación a HTTP 400, los recursos inexistentes a 404 y los fallos inesperados a 500, siempre con la forma {ok:false, error}. Las operaciones críticas, como recibir una orden de pedido (actualiza la orden y registra el movimiento de entrada), se ejecutan en una transacción.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Teoría de decisiones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Permite definir alternativas, estados de la naturaleza, probabilidades y pagos, y elegir maximizar o minimizar. Calcula los cinco criterios, la matriz de arrepentimiento y la información perfecta, y marca la alternativa recomendada. El constructor de árboles admite nodos de decisión, azar y terminales con cualquier número de ramas y costos por rama, evalúa con roll-back y dibuja el árbol resaltando la rama óptima.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pagos y criterios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038600"/>
            <wp:effectExtent t="0" r="0" b="0" l="0"/>
            <wp:docPr id="1" name="fig5" descr="Matriz de pagos y criterios" title="Matriz de pagos y crite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Árbol de decisión evaluado (caso Thompson Lumber)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5676900"/>
            <wp:effectExtent t="0" r="0" b="0" l="0"/>
            <wp:docPr id="1" name="fig6" descr="Árbol de decisión evaluado (caso Thompson Lumber)" title="Árbol de decisión evaluado (caso Thompson Lumbe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Inventarios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Gestiona proveedores, productos, movimientos de stock y órdenes de pedido. Para cada producto calcula EOQ, costos anuales, stock de seguridad, punto de reorden y compara las políticas de revisión continua y periódica; genera la curva de costos y la simulación en diente de sierra. Clasifica los productos con ABC y emite alertas de agotado, riesgo, pedir y en camino.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Análisis EOQ y políticas de revisión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6686550"/>
            <wp:effectExtent t="0" r="0" b="0" l="0"/>
            <wp:docPr id="1" name="fig7" descr="Análisis EOQ y políticas de revisión" title="Análisis EOQ y políticas de revi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Clasificación ABC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429125"/>
            <wp:effectExtent t="0" r="0" b="0" l="0"/>
            <wp:docPr id="1" name="fig8" descr="Clasificación ABC" title="Clasificación 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Alertas de inventario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3400425"/>
            <wp:effectExtent t="0" r="0" b="0" l="0"/>
            <wp:docPr id="1" name="fig9" descr="Alertas de inventario" title="Alertas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PERT/CPM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 proyectos con actividades determinísticas o con tres estimaciones y sus predecesoras; detecta ciclos y predecesoras inexistentes; calcula tiempos, holguras y rutas críticas (incluso múltiples), la probabilidad de cumplir un plazo y el plazo para una probabilidad dada. Dibuja la red de actividades y el diagrama de Gantt, y permite registrar el avance real para compararlo con el planificado y clasificar las actividades como completadas, en plazo, adelantadas, atrasadas, sin iniciar o en curso.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10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Resultados PERT/CPM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600575"/>
            <wp:effectExtent t="0" r="0" b="0" l="0"/>
            <wp:docPr id="1" name="fig10" descr="Resultados PERT/CPM" title="Resultados PERT/C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red (nodos de actividad)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1419225"/>
            <wp:effectExtent t="0" r="0" b="0" l="0"/>
            <wp:docPr id="1" name="fig11" descr="Diagrama de red (nodos de actividad)" title="Diagrama de red (nodos de activida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Gantt y seguimiento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6496050"/>
            <wp:effectExtent t="0" r="0" b="0" l="0"/>
            <wp:docPr id="1" name="fig12" descr="Diagrama de Gantt y seguimiento" title="Diagrama de Gantt y seguimi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Caso práctico y datos utilizados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datos corresponden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escenarios simulados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incluidos en el script 99_seed_data.sql para poder reproducir las demostraciones.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Planta con estados favorable y desfavorable (probabilidad 0.5 cada uno) y α = 0.8: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pagos del caso de decisión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Alternativa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Favorable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Desfavorable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−180,000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−20,000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hacer nada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Caso secuencial (Thompson Lumber): estudio de mercado con costo 10,000; P(resultado positivo) = 0.45; P(favorable | positivo) = 0.78; P(favorable | negativo) = 0.27; sin estudio, P(favorable) = 0.5.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Producto con D = 1,000 unidades/año, S = 10, c = 20, i = 10 %, a = 0.5, L = 5 días, σd = 1.5 y nivel de servicio 95 %. Para comparar políticas: D = 3,650, S = 50, c = 10, i = 20 %, L = 5, T = 30, σd = 2. Para ABC: valores anuales 50k, 20k, 10k, 8k, 7k y 5k. Se cargan además seis productos de ejemplo con movimientos y un pedido en camino.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Proyecto de ocho actividades (A a H) con tres estimaciones cada una, registrado en la base de datos; y la red mínima A(3), B(2), C(4←A), D(5←A,B), E(2←C,D) para verificar el CPM determinístico.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Resultados, pruebas y validación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resultado del sistema se contrastó con un cálculo manual independiente. El detalle completo está en docs/evidencias_pruebas/validacion.md.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de teoría de decisiones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1700"/>
        <w:gridCol w:w="1700"/>
        <w:gridCol w:w="2626"/>
      </w:tblGrid>
      <w:tr>
        <w:trPr>
          <w:tblHeader/>
        </w:trPr>
        <w:tc>
          <w:tcPr>
            <w:tcW w:type="dxa" w:w="30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Criterio</w:t>
            </w:r>
          </w:p>
        </w:tc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  <w:tc>
          <w:tcPr>
            <w:tcW w:type="dxa" w:w="26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Maximax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Maximin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hacer nada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Hurwicz (α=0.8)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124,000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124,000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Laplace / VME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Savage (arrepentimiento máx.)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Árbol con estudio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49,200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49,200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Realizar estudio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Árbol sin estudio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probabilidades conocidas conviene la planta pequeña (VME 40,000); el estudio de mercado eleva el valor esperado a 49,200, por lo que vale la pena pagar hasta 9,200 por la información.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de inventarios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Magnitud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 = i·c + 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Q*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89.4427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89.4427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11.1803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11.1803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 (días)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32.6466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32.6466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Costo total anual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20,223.607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20,223.607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Stock de seguridad (95 %)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5.517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5.517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Punto de reorden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19.2156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19.2156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Continua: Q* / R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427.2002 / 57.356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427.2002 / 57.356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Costo continua vs periódica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37,369.112 vs 37,447.257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37,369.112 vs 37,447.257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ABC (cortes 80/95)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A=3, B=2, C=1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A=3, B=2, C=1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pedir 89 unidades cada 33 días minimiza el costo; con el stock de seguridad calculado se mantiene un 95 % de nivel de servicio. En el caso comparado, la revisión continua resulta más barata en 78.15 por año que la periódica.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PERT/CPM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Magnitud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Red mínima: duración y ruta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10; A-D-E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10; A-D-E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Dos actividades en serie: Te, σ²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8; 2.7778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8; 2.7778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P(T ≤ 10)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0.8849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0.8849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Proyecto de ejemplo: duración / ruta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días; A-B-D-F-H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días; A-B-D-F-H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del proyecto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1.8559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1.8559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P(T ≤ 20)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85.94 %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85.94 %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Plazo con 95 % de confianza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21.05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21.05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proyecto de ejemplo dura 18 días con ruta crítica A-B-D-F-H; comprometer 20 días tiene 85.9 % de probabilidad de cumplimiento y, para 95 % de confianza, se debería ofrecer un plazo de unos 21 días.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Pruebas automáticas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ejecutan 116 pruebas (node --test) que cubren los algoritmos, las validaciones y los controladores (con la base de datos simulada), y se repiten en GitHub Actions en cada push. Además se realizaron pruebas de interfaz en navegador automatizado para los tres módulos y pruebas manuales con SQL Server real.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contraste con el software POM-QM se documenta en el Anexo C.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 y recomendaciones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implementó un sistema web funcional que integra PERT/CPM, inventarios y teoría de decisiones, con persistencia en SQL Server.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resultados coinciden con los cálculos manuales en todos los casos probados, lo que valida la correcta implementación de los modelos.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Separar los algoritmos de la capa de datos facilitó las pruebas automáticas y reduce el riesgo de errores al modificar el sistema.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diagramas y gráficos (red, Gantt, árbol, Pareto, diente de sierra) hacen interpretables los resultados para quien decide.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modelo tiene supuestos: demanda constante en EOQ, normalidad en PERT, probabilidades estimadas en decisiones; los resultados deben interpretarse dentro de ellos.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Incorporar autenticación de usuarios y roles antes de un uso en producción.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Ampliar inventarios con descuentos por cantidad y faltantes planificados.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Añadir nivelación de recursos y costos en PERT/CPM (crashing).</w:t>
      </w:r>
    </w:p>
    <w:p>
      <w:pPr>
        <w:pStyle w:val="ListParagraph"/>
        <w:numPr>
          <w:ilvl w:val="0"/>
          <w:numId w:val="2"/>
        </w:numPr>
        <w:spacing w:after="0" w:line="4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Contrastar periódicamente los resultados con POM-QM o datos reales de una organización.</w:t>
      </w:r>
    </w:p>
    <w:p>
      <w:pPr>
        <w:pageBreakBefore/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Abramowitz, M., y Stegun, I. A. (1964).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Handbook of mathematical functions with formulas, graphs, and mathematical tables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National Bureau of Standards.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Chart.js Contributors. (s. f.).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Chart.js documentation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https://www.chartjs.org/docs/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Heizer, J., y Render, B. (2015).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Principios de administración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(9.ª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Hillier, F. S., y Lieberman, G. J. (2015).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Introducción a la investigación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(10.ª ed.). McGraw-Hill.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OpenJS Foundation. (s. f.-a).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Express: Infraestructura web rápida, minimalista y flexible para Node.js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https://expressjs.com/es/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OpenJS Foundation. (s. f.-b).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Node.js documentation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https://nodejs.org/docs/latest/api/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Render, B., Stair, R. M., y Hanna, M. E. (2016).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Métodos cuantitativos para los negocios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(12.ª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Taha, H. A.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Investigación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(10.ª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Winston, W. L. (2005).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Investigación de operaciones: Aplicaciones y algoritmos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(4.ª ed.). Thomson.</w:t>
      </w:r>
    </w:p>
    <w:p>
      <w:pPr>
        <w:pageBreakBefore/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A. Código fuente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Repositorio de GitHub: https://github.com/Jose-An608/io2-sistema-decisiones. Carpetas principales: backend/, frontend/, database/ y docs/.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Sistema en línea (Render, con base de datos en Azure SQL): https://io2-sistema-decisiones.onrender.com. Verificación de la conexión a la base de datos: https://io2-sistema-decisiones.onrender.com/api/health. Nota: en el plan gratuito de Render el servicio se suspende tras 15 minutos de inactividad y la primera solicitud puede tardar cerca de un minuto.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B. Manual de usuario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 docs/manual_usuario.md del repositorio (instalación, uso de los tres módulos y solución de problemas).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C. Evidencias de validación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 docs/evidencias_pruebas/validacion.md: casos resueltos a mano, comparación con el sistema, trazabilidad con las pruebas y tabla de contraste con POM-QM.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D. Instalación rápida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copiar .env.example a .env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ejecutar database/00 ... 03 y 99 en SSMS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run dev   -&gt;   http://localhost:3000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test      -&gt;   116 pruebas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fd56c25b906554808777bbf904fe4587c2ff560d.png"/><Relationship Id="rId10" Type="http://schemas.openxmlformats.org/officeDocument/2006/relationships/image" Target="media/739d0acb7754ff46a2fbe1d063c28864531ebefb.png"/><Relationship Id="rId11" Type="http://schemas.openxmlformats.org/officeDocument/2006/relationships/image" Target="media/67e34289878d06682ae0a7a4c24dde7470f9ccbb.png"/><Relationship Id="rId12" Type="http://schemas.openxmlformats.org/officeDocument/2006/relationships/image" Target="media/aaaa24f7a44ed6687c07a3a6310645b5d2dd3b66.png"/><Relationship Id="rId13" Type="http://schemas.openxmlformats.org/officeDocument/2006/relationships/image" Target="media/b49e2efcdb77fbb941c6abc382bee81b42b41b85.png"/><Relationship Id="rId14" Type="http://schemas.openxmlformats.org/officeDocument/2006/relationships/image" Target="media/1dac9f2ffe5b8419d79b8ac8e99bc82308b913fa.png"/><Relationship Id="rId15" Type="http://schemas.openxmlformats.org/officeDocument/2006/relationships/image" Target="media/6a00ec8fe8dcbfc4e8d51e5cbee870569791c6eb.png"/><Relationship Id="rId16" Type="http://schemas.openxmlformats.org/officeDocument/2006/relationships/image" Target="media/1d3fd3097e7ee71d50d0493aa4f7a26f761c6460.png"/><Relationship Id="rId17" Type="http://schemas.openxmlformats.org/officeDocument/2006/relationships/image" Target="media/d85822f47f83e235deb938bef9f0310cb258663b.png"/><Relationship Id="rId18" Type="http://schemas.openxmlformats.org/officeDocument/2006/relationships/image" Target="media/7a5c2d8ed5c69bca3d27031099d675ab26593fc1.png"/><Relationship Id="rId19" Type="http://schemas.openxmlformats.org/officeDocument/2006/relationships/image" Target="media/86403745a97aaa2eb2e4a1fcc1a529c9e02aa38f.png"/><Relationship Id="rId20" Type="http://schemas.openxmlformats.org/officeDocument/2006/relationships/image" Target="media/9103bca1f0a0fc3e5ef72e7355dab0a5c6129f5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Investigación Operativa II</dc:title>
  <dc:creator>Autor</dc:creator>
  <cp:lastModifiedBy>Un-named</cp:lastModifiedBy>
  <cp:revision>1</cp:revision>
  <dcterms:created xsi:type="dcterms:W3CDTF">2026-10-16T03:59:04.044Z</dcterms:created>
  <dcterms:modified xsi:type="dcterms:W3CDTF">2026-10-16T03:59:04.047Z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