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Informático de Apoyo a la Toma de Decisiones: PERT/CPM, Gestión de Inventarios y Teoría de Decisiones</w:t>
      </w:r>
    </w:p>
    <w:p>
      <w:pPr>
        <w:spacing w:after="0" w:line="240"/>
      </w:pP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[Nombres y apellidos del estudiante]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Escuela Profesional de Ingeniería de Sistemas, Universidad Nacional Jorge Basadre Grohmann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Investigación Operativa II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[Nombre del docente]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[Día de Mes de Año]</w:t>
      </w:r>
    </w:p>
    <w:p>
      <w:pPr>
        <w:sectPr>
          <w:head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Informático de Apoyo a la Toma de Decisiones: PERT/CPM, Gestión de Inventarios y Teoría de Decisiones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Introducción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toma de decisiones en las organizaciones requiere herramientas que conviertan datos en información útil y comparable. La Investigación Operativa aporta modelos matemáticos para planificar proyectos, controlar existencias y elegir entre alternativas bajo incertidumbre; sin embargo, su aplicación manual es lenta y propensa a errores.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informe describe el desarrollo de un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web único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implementa las tres alternativas propuestas en el instructivo: (1) PERT/CPM para la gestión de proyectos, (2) modelos de inventarios (EOQ, punto de reorden, revisión continua y periódica, ABC) y (3) teoría de decisiones (criterios clásicos, valor esperado y árboles de decisión). El sistema se construyó con HTML, CSS y JavaScript en el cliente, Node.js con Express en el servidor y SQL Server como base de datos, y sus resultados se validaron contra cálculos manuales.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documento sigue la estructura exigida por el instructivo: planteamiento del problema, objetivos, justificación, marco teórico, formulación matemática, análisis y diseño, herramientas, implementación, caso práctico, resultados y validación, conclusiones, referencias y anexos.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Planteamiento y descripción del problema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plantean tres situaciones típicas de una organización, tratadas como escenarios simulados claramente identificados: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Gestión de proyectos.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necesita saber cuánto durará un proyecto, qué actividades no admiten retraso y qué probabilidad existe de terminar dentro de un plazo comprometido, además de controlar el avance real frente al planificado.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Gestión de inventarios.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comercial mantiene productos con distinta demanda y costos. Pedir mucho incrementa el costo de mantener; pedir poco incrementa el costo de ordenar y el riesgo de quedarse sin stock. Se requiere definir cuánto y cuándo pedir y detectar productos en riesgo.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Decisión bajo incertidumbre.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evalúa construir una planta grande, pequeña o no construir, sin conocer con certeza si el mercado será favorable; además debe decidir si vale la pena pagar un estudio de mercado antes de decidir (caso Thompson Lumber).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problema general es la ausencia de una herramienta integrada que automatice estos cálculos, los almacene y presente resultados comprensibles para quien decide.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del proyecto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 general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Desarrollar e implementar un sistema informático que aplique modelos de Investigación Operativa para resolver problemas de gestión de proyectos, administración de inventarios y toma de decisiones, facilitando el análisis de resultados y la selección de alternativas óptimas.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específicos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Analizar problemas empresariales que requieran técnicas de Investigación Operativa.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Diseñar un sistema que permita registrar datos, procesar información y presentar resultados.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Implementar los algoritmos de PERT/CPM, inventarios y teoría de decisiones.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Validar los resultados mediante cálculos manuales y pruebas automáticas.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Elaborar indicadores, reportes y gráficos que apoyen la toma de decisiones.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Justificación de la solución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Técnica: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separar los algoritmos (servicios puros, sin acceso a datos) del resto de la aplicación permite probarlos de forma aislada; se dispone de 116 pruebas automáticas que se ejecutan en cada cambio mediante GitHub Actions.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Económica y operativa: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sistema reduce costos de inventario al calcular la cantidad económica de pedido, evita quiebres de stock mediante alertas, ayuda a controlar plazos al identificar la ruta crítica y el retraso real, y mejora las decisiones al comparar criterios y valores esperados de forma inmediata.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Académica: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consolida en una sola plataforma los temas de la asignatura y muestra el desarrollo paso a paso de cada fórmula, lo que facilita el aprendizaje y la verificación.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Alcance: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instructivo indica elegir una alternativa por grupo; en este trabajo, de ejecución individual, se implementaron las tres para integrar toda la asignatura.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Marco teórico del modelo de Investigación Operativa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Método de la Ruta Crítica (CPM)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Técnica de Evaluación y Revisión de Programas (PERT)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representan un proyecto como un conjunto de actividades con relaciones de precedencia. CPM usa duraciones determinísticas; PERT modela la incertidumbre con tres estimaciones (optimista, más probable y pesimista) y una distribución beta, cuya media y varianza se aproximan con fórmulas simples.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ruta crítica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 la secuencia de actividades sin holgura que determina la duración mínima del proyecto. Bajo el teorema central del límite, la duración total se aproxima a una normal con media igual a la suma de los tiempos esperados de la ruta crítica y varianza igual a la suma de sus varianzas (Hillier y Lieberman, 2015; Taha, 2017).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Modelos de 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 EOQ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minimiza la suma de costos de ordenar y de mantener bajo demanda constante y conocida. Cuando la demanda es variable y el plazo de entrega no es nulo se añade un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stock de seguridad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protege contra faltantes con un nivel de servicio dado, y se define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punto de reorden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En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continua (Q, 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pide una cantidad fija al alcanzar R; en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periódica (T, M)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revisa cada T unidades de tiempo y se pide lo necesario para llegar al nivel máximo M.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ABC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(principio de Pareto) clasifica los productos por su valor anual de consumo para priorizar el control (Heizer y Render, 2015; Taha, 2017).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Una decisión se modela con alternativas, estados de la naturaleza y pagos. Bajo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incertidumbre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(sin probabilidades) se aplican: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Maximax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(optimista),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Maximin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(pesimista),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Hurwicz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(combinación con coeficiente de optimismo α),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Laplace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(estados equiprobables) 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Savage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(minimizar el máximo arrepentimiento). Bajo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riesgo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 probabilidades) se usa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monetario esperado (VME)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esperado de la información perfecta (VEIP)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Las decisiones secuenciales se resuelven con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árboles de decisión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mediante inducción hacia atrás (roll-back): se promedian los nodos de azar y se elige el mejor valor en los nodos de decisión (Render et al., 2016; Winston, 2005).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Formulación matemática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Variables: para cada actividad i, duración tᵢ (o estimaciones oᵢ, mᵢ, pᵢ) y conjunto de predecesoras Pred(i).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tₑ = (o + 4m + p) / 6          σ² = ((p − o) / 6)²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ESᵢ = máx{ EFⱼ : j ∈ Pred(i) }          EFᵢ = ESᵢ + tᵢ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LFᵢ = mín{ LSₖ : i ∈ Pred(k) }          LSᵢ = LFᵢ − tᵢ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Holgura total = LS − ES          Crítica ⇔ holgura = 0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Te = Σ tₑ (ruta crítica)     σ² = Σ σ² (ruta crítica)     z = (plazo − Te)/σ     P = Φ(z)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plazo asociado a una probabilidad objetivo es plazo = Te + z·σ, con z = Φ⁻¹(probabilidad). La función de distribución normal Φ(z) se evalúa con la aproximación racional de Abramowitz y Stegun (1964). El avance planificado de una actividad al día t es (t − ES)/duración, acotado entre 0 % y 100 %; el avance del proyecto es el promedio ponderado por duración.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Parámetros: D demanda anual, S costo de ordenar, c costo unitario, i tasa de mantenimiento, a costo de almacenamiento por unidad, L plazo de entrega (días), σd desviación diaria de la demanda, z valor normal del nivel de servicio.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 = i·c + a          Q* = √(2·D·S / H)          N = D / Q*          T = días / N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CT = D·c + (D/Q)·S + (Q/2)·H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d = D / días          SS = z·σd·√L          ROP = d·L + SS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Revisión periódica:   M = d·(T + L) + z·σd·√(T + L)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Análisis ABC: los productos se ordenan por D·c descendente; se calcula el porcentaje acumulado y se asigna A hasta el corte 80 %, B hasta 95 % y C el resto (cortes configurables). Alertas: agotado (stock 0), riesgo (stock menor que d·L), pedir (stock ≤ ROP sin pedido en camino), en camino (pedido pendiente) y OK.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Sea pᵢⱼ el pago de la alternativa i en el estado j y qⱼ su probabilidad.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Maximax = máxᵢ máxⱼ pᵢⱼ          Maximin = máxᵢ mínⱼ pᵢⱼ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Hurwicz(i) = α·máxⱼ pᵢⱼ + (1 − α)·mínⱼ pᵢⱼ          Laplace(i) = (1/n)·Σⱼ pᵢⱼ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Savage: rᵢⱼ = máxₖ pₖⱼ − pᵢⱼ ; se elige mínᵢ máxⱼ rᵢⱼ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VME(i) = Σⱼ qⱼ·pᵢⱼ          VEcIP = Σⱼ qⱼ·máxᵢ pᵢⱼ          VEIP = VEcIP − máxᵢ VME(i)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minimizar costos se intercambian máximos y mínimos. En árboles: valor(nodo de azar) = Σ probabilidad × valor(hijo); valor(nodo de decisión) = máx (o mín) de [valor de la rama + valor del hijo].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y diseño del sistema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Requerimientos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Requerimientos del sistema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Tipo</w:t>
            </w:r>
          </w:p>
        </w:tc>
        <w:tc>
          <w:tcPr>
            <w:tcW w:type="dxa" w:w="72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Registrar, editar, consultar y eliminar proyectos, productos, proveedores, movimientos, pedidos, decisiones y árboles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Calcular ruta crítica, holguras, probabilidad de plazo, EOQ, ROP, políticas de revisión, ABC, criterios de decisión y roll-back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Mostrar tablas, diagramas (red, Gantt, árbol) y gráficos (Pareto, costos, diente de sierra)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Alertas de stock y de actividades atrasadas; informe imprimible por módulo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Cálculo inmediato (debounce 350 ms), validación de datos con mensajes claros, código probado automáticamente, diseño adaptable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Arquitectura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Arquitectura cliente–servidor en tres capas. El navegador consume una API REST JSON; los controladores validan los datos y consultan SQL Server; los algoritmos residen en servicios puros que no dependen de la base de datos (véase la Figura 1).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Arquitectura del sistema</w:t>
      </w:r>
    </w:p>
    <w:p>
      <w:pPr>
        <w:keepNext/>
        <w:spacing w:after="60"/>
        <w:jc w:val="left"/>
      </w:pPr>
      <w:r>
        <w:drawing>
          <wp:inline distT="0" distB="0" distL="0" distR="0">
            <wp:extent cx="5581650" cy="1323975"/>
            <wp:effectExtent t="0" r="0" b="0" l="0"/>
            <wp:docPr id="1" name="fig1" descr="Arquitectura del sistema" title="Arquitectura del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Flujo de procesamiento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Flujo general de una operación de cálculo</w:t>
      </w:r>
    </w:p>
    <w:p>
      <w:pPr>
        <w:keepNext/>
        <w:spacing w:after="60"/>
        <w:jc w:val="left"/>
      </w:pPr>
      <w:r>
        <w:drawing>
          <wp:inline distT="0" distB="0" distL="0" distR="0">
            <wp:extent cx="3057525" cy="7981950"/>
            <wp:effectExtent t="0" r="0" b="0" l="0"/>
            <wp:docPr id="1" name="fig2" descr="Flujo general de una operación de cálculo" title="Flujo general de una operación de cál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98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flujo del algoritmo CPM/PERT</w:t>
      </w:r>
    </w:p>
    <w:p>
      <w:pPr>
        <w:keepNext/>
        <w:spacing w:after="60"/>
        <w:jc w:val="left"/>
      </w:pPr>
      <w:r>
        <w:drawing>
          <wp:inline distT="0" distB="0" distL="0" distR="0">
            <wp:extent cx="2876550" cy="7410450"/>
            <wp:effectExtent t="0" r="0" b="0" l="0"/>
            <wp:docPr id="1" name="fig3" descr="Diagrama de flujo del algoritmo CPM/PERT" title="Diagrama de flujo del algoritmo CPM/P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741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de datos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Modelo relacional en SQL Server con 12 tablas organizadas por módulo, con claves foráneas, restricciones CHECK (valores no negativos, estados válidos) y eliminación en cascada de los datos dependientes. Los scripts están numerados en la carpeta database/ (00 a 99).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Modelo entidad–relación</w:t>
      </w:r>
    </w:p>
    <w:p>
      <w:pPr>
        <w:keepNext/>
        <w:spacing w:after="60"/>
        <w:jc w:val="left"/>
      </w:pPr>
      <w:r>
        <w:drawing>
          <wp:inline distT="0" distB="0" distL="0" distR="0">
            <wp:extent cx="5581650" cy="3133725"/>
            <wp:effectExtent t="0" r="0" b="0" l="0"/>
            <wp:docPr id="1" name="fig4" descr="Modelo entidad–relación" title="Modelo entidad–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Interfaz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 portal de entrada enlaza las tres páginas de módulos. Cada módulo usa pestañas (por ejemplo, Planificación y Gantt/seguimiento en PERT), formularios con recálculo automático. Se incluye hoja de estilos de impresión para generar informes en PDF desde el navegador.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Herramientas tecnológicas utilizadas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Tecnologías utilizadas por capa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2900"/>
        <w:gridCol w:w="4426"/>
      </w:tblGrid>
      <w:tr>
        <w:trPr>
          <w:tblHeader/>
        </w:trPr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Capa</w:t>
            </w:r>
          </w:p>
        </w:tc>
        <w:tc>
          <w:tcPr>
            <w:tcW w:type="dxa" w:w="29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Tecnología</w:t>
            </w:r>
          </w:p>
        </w:tc>
        <w:tc>
          <w:tcPr>
            <w:tcW w:type="dxa" w:w="44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HTML5, CSS3, JavaScript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Interfaz, formularios, diagramas SVG (árbol, red, Gantt)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Gráficos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Chart.js 4.4.1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Pareto, curva de costos, diente de sierra, comparación de criterios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Node.js 22, Express 4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 REST y servidor de archivos estáticos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Base de datos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SQL Server, paquete mssql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Persistencia; autenticación de Windows (msnodesqlv8) o SQL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Pruebas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node:test (integrado en Node)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116 pruebas de algoritmos y controladores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Control de versiones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y GitHub, GitHub Actions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Historial por módulos e integración continua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Validación externa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POM-QM for Windows (opcional)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Contraste de resultados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Implementación y descripción de los módulos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Estructura del código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backend/server.js            servidor Express (/api/pert, /api/inventario, /api/decisiones)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backend/services/            criterios, arbolDecision, eoq, revision, abc, cpm, seguimiento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backend/controllers/         validación y acceso a datos por módulo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backend/routes/              definición de endpoints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backend/tests/               116 pruebas automáticas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frontend/pages/              decisiones.html, inventario.html, pert.html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frontend/js/{common,decisiones,inventario,pert}/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database/                    00_create ... 03_schema, 99_seed_data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controladores se envuelven con un manejador común que traduce los errores de validación a HTTP 400, los recursos inexistentes a 404 y los fallos inesperados a 500, siempre con la forma {ok:false, error}. Las operaciones críticas, como recibir una orden de pedido (actualiza la orden y registra el movimiento de entrada), se ejecutan en una transacción.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Permite definir alternativas, estados de la naturaleza, probabilidades y pagos, y elegir maximizar o minimizar. Calcula los cinco criterios, la matriz de arrepentimiento y la información perfecta, y marca la alternativa recomendada. El constructor de árboles admite nodos de decisión, azar y terminales con cualquier número de ramas y costos por rama, evalúa con roll-back y dibuja el árbol resaltando la rama óptima.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pagos y criterios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038600"/>
            <wp:effectExtent t="0" r="0" b="0" l="0"/>
            <wp:docPr id="1" name="fig5" descr="Matriz de pagos y criterios" title="Matriz de pagos y crite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Árbol de decisión evaluado (caso Thompson Lumber)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5676900"/>
            <wp:effectExtent t="0" r="0" b="0" l="0"/>
            <wp:docPr id="1" name="fig6" descr="Árbol de decisión evaluado (caso Thompson Lumber)" title="Árbol de decisión evaluado (caso Thompson Lumbe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Gestiona proveedores, productos, movimientos de stock y órdenes de pedido. Para cada producto calcula EOQ, costos anuales, stock de seguridad, punto de reorden y compara las políticas de revisión continua y periódica; genera la curva de costos y la simulación en diente de sierra. Clasifica los productos con ABC y emite alertas de agotado, riesgo, pedir y en camino.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Análisis EOQ y políticas de revisión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6686550"/>
            <wp:effectExtent t="0" r="0" b="0" l="0"/>
            <wp:docPr id="1" name="fig7" descr="Análisis EOQ y políticas de revisión" title="Análisis EOQ y políticas de revi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Clasificación ABC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429125"/>
            <wp:effectExtent t="0" r="0" b="0" l="0"/>
            <wp:docPr id="1" name="fig8" descr="Clasificación ABC" title="Clasificación 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Alertas de inventario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3400425"/>
            <wp:effectExtent t="0" r="0" b="0" l="0"/>
            <wp:docPr id="1" name="fig9" descr="Alertas de inventario" title="Alertas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 proyectos con actividades determinísticas o con tres estimaciones y sus predecesoras; detecta ciclos y predecesoras inexistentes; calcula tiempos, holguras y rutas críticas (incluso múltiples), la probabilidad de cumplir un plazo y el plazo para una probabilidad dada. Dibuja la red de actividades y el diagrama de Gantt, y permite registrar el avance real para compararlo con el planificado y clasificar las actividades como completadas, en plazo, adelantadas, atrasadas, sin iniciar o en curso.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10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Resultados PERT/CPM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600575"/>
            <wp:effectExtent t="0" r="0" b="0" l="0"/>
            <wp:docPr id="1" name="fig10" descr="Resultados PERT/CPM" title="Resultados PERT/C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red (nodos de actividad)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1419225"/>
            <wp:effectExtent t="0" r="0" b="0" l="0"/>
            <wp:docPr id="1" name="fig11" descr="Diagrama de red (nodos de actividad)" title="Diagrama de red (nodos de activida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Gantt y seguimiento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6496050"/>
            <wp:effectExtent t="0" r="0" b="0" l="0"/>
            <wp:docPr id="1" name="fig12" descr="Diagrama de Gantt y seguimiento" title="Diagrama de Gantt y seguimi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Caso práctico y datos utilizados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datos corresponden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escenarios simulados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incluidos en el script 99_seed_data.sql para poder reproducir las demostraciones.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Planta con estados favorable y desfavorable (probabilidad 0.5 cada uno) y α = 0.8: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pagos del caso de decisión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Alternativa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Favorable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Desfavorable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−180,000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−20,000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hacer nada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Caso secuencial (Thompson Lumber): estudio de mercado con costo 10,000; P(resultado positivo) = 0.45; P(favorable | positivo) = 0.78; P(favorable | negativo) = 0.27; sin estudio, P(favorable) = 0.5.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Producto con D = 1,000 unidades/año, S = 10, c = 20, i = 10 %, a = 0.5, L = 5 días, σd = 1.5 y nivel de servicio 95 %. Para comparar políticas: D = 3,650, S = 50, c = 10, i = 20 %, L = 5, T = 30, σd = 2. Para ABC: valores anuales 50k, 20k, 10k, 8k, 7k y 5k. Se cargan además seis productos de ejemplo con movimientos y un pedido en camino.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Proyecto de ocho actividades (A a H) con tres estimaciones cada una, registrado en la base de datos; y la red mínima A(3), B(2), C(4←A), D(5←A,B), E(2←C,D) para verificar el CPM determinístico.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Resultados, pruebas y validación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resultado del sistema se contrastó con un cálculo manual independiente. El detalle completo está en docs/evidencias_pruebas/validacion.md.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de teoría de decisiones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1700"/>
        <w:gridCol w:w="1700"/>
        <w:gridCol w:w="2626"/>
      </w:tblGrid>
      <w:tr>
        <w:trPr>
          <w:tblHeader/>
        </w:trPr>
        <w:tc>
          <w:tcPr>
            <w:tcW w:type="dxa" w:w="30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Criterio</w:t>
            </w:r>
          </w:p>
        </w:tc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  <w:tc>
          <w:tcPr>
            <w:tcW w:type="dxa" w:w="26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Maximax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Maximin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hacer nada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Hurwicz (α=0.8)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124,000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124,000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Laplace / VME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Savage (arrepentimiento máx.)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Árbol con estudio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49,200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49,200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Realizar estudio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Árbol sin estudio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probabilidades conocidas conviene la planta pequeña (VME 40,000); el estudio de mercado eleva el valor esperado a 49,200, por lo que vale la pena pagar hasta 9,200 por la información.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de inventarios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Magnitud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 = i·c + 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Q*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89.4427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89.4427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11.1803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11.1803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 (días)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32.6466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32.6466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Costo total anual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20,223.607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20,223.607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Stock de seguridad (95 %)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5.517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5.517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Punto de reorden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19.2156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19.2156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Continua: Q* / R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427.2002 / 57.356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427.2002 / 57.356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Costo continua vs periódica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37,369.112 vs 37,447.257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37,369.112 vs 37,447.257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ABC (cortes 80/95)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A=3, B=2, C=1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A=3, B=2, C=1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pedir 89 unidades cada 33 días minimiza el costo; con el stock de seguridad calculado se mantiene un 95 % de nivel de servicio. En el caso comparado, la revisión continua resulta más barata en 78.15 por año que la periódica.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PERT/CPM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Magnitud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Red mínima: duración y ruta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10; A-D-E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10; A-D-E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Dos actividades en serie: Te, σ²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8; 2.7778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8; 2.7778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P(T ≤ 10)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0.8849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0.8849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Proyecto de ejemplo: duración / ruta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días; A-B-D-F-H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días; A-B-D-F-H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del proyecto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1.8559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1.8559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P(T ≤ 20)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85.94 %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85.94 %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Plazo con 95 % de confianza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21.05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21.05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proyecto de ejemplo dura 18 días con ruta crítica A-B-D-F-H; comprometer 20 días tiene 85.9 % de probabilidad de cumplimiento y, para 95 % de confianza, se debería ofrecer un plazo de unos 21 días.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Pruebas automáticas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ejecutan 116 pruebas (node --test) que cubren los algoritmos, las validaciones y los controladores (con la base de datos simulada), y se repiten en GitHub Actions en cada push. Además se realizaron pruebas de interfaz en navegador automatizado para los tres módulos y pruebas manuales con SQL Server real.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contraste con el software POM-QM se documenta en el Anexo C.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 y recomendaciones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implementó un sistema web funcional que integra PERT/CPM, inventarios y teoría de decisiones, con persistencia en SQL Server.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resultados coinciden con los cálculos manuales en todos los casos probados, lo que valida la correcta implementación de los modelos.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Separar los algoritmos de la capa de datos facilitó las pruebas automáticas y reduce el riesgo de errores al modificar el sistema.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diagramas y gráficos (red, Gantt, árbol, Pareto, diente de sierra) hacen interpretables los resultados para quien decide.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modelo tiene supuestos: demanda constante en EOQ, normalidad en PERT, probabilidades estimadas en decisiones; los resultados deben interpretarse dentro de ellos.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Incorporar autenticación de usuarios y roles antes de un uso en producción.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Ampliar inventarios con descuentos por cantidad y faltantes planificados.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Añadir nivelación de recursos y costos en PERT/CPM (crashing).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Contrastar periódicamente los resultados con POM-QM o datos reales de una organización.</w:t>
      </w:r>
    </w:p>
    <w:p>
      <w:pPr>
        <w:pageBreakBefore/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Abramowitz, M., y Stegun, I. A. (1964).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Handbook of mathematical functions with formulas, graphs, and mathematical tables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National Bureau of Standards.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Chart.js Contributors. (s. f.).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Chart.js documentation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https://www.chartjs.org/docs/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Heizer, J., y Render, B. (2015).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Principios de administración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(9.ª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Hillier, F. S., y Lieberman, G. J. (2015).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Introducción a la investigación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(10.ª ed.). McGraw-Hill.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OpenJS Foundation. (s. f.-a).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Express: Infraestructura web rápida, minimalista y flexible para Node.js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https://expressjs.com/es/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OpenJS Foundation. (s. f.-b).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Node.js documentation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https://nodejs.org/docs/latest/api/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Render, B., Stair, R. M., y Hanna, M. E. (2016).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Métodos cuantitativos para los negocios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(12.ª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Taha, H. A.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Investigación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(10.ª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Winston, W. L. (2005).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Investigación de operaciones: Aplicaciones y algoritmos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(4.ª ed.). Thomson.</w:t>
      </w:r>
    </w:p>
    <w:p>
      <w:pPr>
        <w:pageBreakBefore/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A. Código fuente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Repositorio de GitHub: https://github.com/Jose-An608/io2-sistema-decisiones. Carpetas principales: backend/, frontend/, database/ y docs/.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Sistema en línea (Render, con base de datos en Azure SQL): https://io2-sistema-decisiones.onrender.com. Verificación de la conexión a la base de datos: https://io2-sistema-decisiones.onrender.com/api/health. Nota: en el plan gratuito de Render el servicio se suspende tras 15 minutos de inactividad y la primera solicitud puede tardar cerca de un minuto.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B. Manual de usuario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 docs/manual_usuario.md del repositorio (instalación, uso de los tres módulos y solución de problemas).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C. Evidencias de validación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 docs/evidencias_pruebas/validacion.md: casos resueltos a mano, comparación con el sistema, trazabilidad con las pruebas y tabla de contraste con POM-QM.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D. Instalación rápida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copiar .env.example a .env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ejecutar database/00 ... 03 y 99 en SSMS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run dev   -&gt;   http://localhost:3000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test      -&gt;   116 pruebas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fd56c25b906554808777bbf904fe4587c2ff560d.png"/><Relationship Id="rId10" Type="http://schemas.openxmlformats.org/officeDocument/2006/relationships/image" Target="media/739d0acb7754ff46a2fbe1d063c28864531ebefb.png"/><Relationship Id="rId11" Type="http://schemas.openxmlformats.org/officeDocument/2006/relationships/image" Target="media/67e34289878d06682ae0a7a4c24dde7470f9ccbb.png"/><Relationship Id="rId12" Type="http://schemas.openxmlformats.org/officeDocument/2006/relationships/image" Target="media/aaaa24f7a44ed6687c07a3a6310645b5d2dd3b66.png"/><Relationship Id="rId13" Type="http://schemas.openxmlformats.org/officeDocument/2006/relationships/image" Target="media/b49e2efcdb77fbb941c6abc382bee81b42b41b85.png"/><Relationship Id="rId14" Type="http://schemas.openxmlformats.org/officeDocument/2006/relationships/image" Target="media/1dac9f2ffe5b8419d79b8ac8e99bc82308b913fa.png"/><Relationship Id="rId15" Type="http://schemas.openxmlformats.org/officeDocument/2006/relationships/image" Target="media/6a00ec8fe8dcbfc4e8d51e5cbee870569791c6eb.png"/><Relationship Id="rId16" Type="http://schemas.openxmlformats.org/officeDocument/2006/relationships/image" Target="media/1d3fd3097e7ee71d50d0493aa4f7a26f761c6460.png"/><Relationship Id="rId17" Type="http://schemas.openxmlformats.org/officeDocument/2006/relationships/image" Target="media/d85822f47f83e235deb938bef9f0310cb258663b.png"/><Relationship Id="rId18" Type="http://schemas.openxmlformats.org/officeDocument/2006/relationships/image" Target="media/7a5c2d8ed5c69bca3d27031099d675ab26593fc1.png"/><Relationship Id="rId19" Type="http://schemas.openxmlformats.org/officeDocument/2006/relationships/image" Target="media/86403745a97aaa2eb2e4a1fcc1a529c9e02aa38f.png"/><Relationship Id="rId20" Type="http://schemas.openxmlformats.org/officeDocument/2006/relationships/image" Target="media/9103bca1f0a0fc3e5ef72e7355dab0a5c6129f5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Investigación Operativa II</dc:title>
  <dc:creator>Autor</dc:creator>
  <cp:lastModifiedBy>Un-named</cp:lastModifiedBy>
  <cp:revision>1</cp:revision>
  <dcterms:created xsi:type="dcterms:W3CDTF">2026-10-14T17:21:49.667Z</dcterms:created>
  <dcterms:modified xsi:type="dcterms:W3CDTF">2026-10-14T17:21:49.667Z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