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9D36D2F" w14:textId="77777777" w:rsidR="00066D28" w:rsidRDefault="00981EE1">
      <w:pPr>
        <w:pStyle w:val="Ttulo"/>
        <w:spacing w:line="240" w:lineRule="auto"/>
        <w:jc w:val="center"/>
        <w:rPr>
          <w:color w:val="2196F3"/>
          <w:sz w:val="18"/>
          <w:szCs w:val="18"/>
        </w:rPr>
      </w:pPr>
      <w:bookmarkStart w:id="0" w:name="_koqp1zr190fb" w:colFirst="0" w:colLast="0"/>
      <w:bookmarkEnd w:id="0"/>
      <w:r>
        <w:rPr>
          <w:b/>
          <w:noProof/>
          <w:color w:val="4285F4"/>
          <w:sz w:val="50"/>
          <w:szCs w:val="50"/>
          <w:lang w:val="en-US"/>
        </w:rPr>
        <w:drawing>
          <wp:inline distT="114300" distB="114300" distL="114300" distR="114300" wp14:anchorId="7C1080DF" wp14:editId="202CF33C">
            <wp:extent cx="1871775" cy="13666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71775" cy="1366693"/>
                    </a:xfrm>
                    <a:prstGeom prst="rect">
                      <a:avLst/>
                    </a:prstGeom>
                    <a:ln/>
                  </pic:spPr>
                </pic:pic>
              </a:graphicData>
            </a:graphic>
          </wp:inline>
        </w:drawing>
      </w:r>
    </w:p>
    <w:tbl>
      <w:tblPr>
        <w:tblStyle w:val="a"/>
        <w:tblW w:w="9645" w:type="dxa"/>
        <w:tblLayout w:type="fixed"/>
        <w:tblLook w:val="0600" w:firstRow="0" w:lastRow="0" w:firstColumn="0" w:lastColumn="0" w:noHBand="1" w:noVBand="1"/>
      </w:tblPr>
      <w:tblGrid>
        <w:gridCol w:w="4860"/>
        <w:gridCol w:w="4485"/>
        <w:gridCol w:w="300"/>
      </w:tblGrid>
      <w:tr w:rsidR="00066D28" w14:paraId="124E06AB" w14:textId="77777777">
        <w:trPr>
          <w:trHeight w:val="1335"/>
        </w:trPr>
        <w:tc>
          <w:tcPr>
            <w:tcW w:w="9345" w:type="dxa"/>
            <w:gridSpan w:val="2"/>
            <w:tcBorders>
              <w:top w:val="single" w:sz="12" w:space="0" w:color="FFFFFF"/>
              <w:left w:val="nil"/>
              <w:bottom w:val="nil"/>
              <w:right w:val="nil"/>
            </w:tcBorders>
            <w:shd w:val="clear" w:color="auto" w:fill="auto"/>
            <w:tcMar>
              <w:top w:w="72" w:type="dxa"/>
              <w:left w:w="72" w:type="dxa"/>
              <w:bottom w:w="72" w:type="dxa"/>
              <w:right w:w="72" w:type="dxa"/>
            </w:tcMar>
          </w:tcPr>
          <w:p w14:paraId="6F1097B0" w14:textId="77777777" w:rsidR="00066D28" w:rsidRDefault="00981EE1">
            <w:pPr>
              <w:spacing w:line="240" w:lineRule="auto"/>
              <w:jc w:val="center"/>
              <w:rPr>
                <w:color w:val="666666"/>
                <w:sz w:val="40"/>
                <w:szCs w:val="40"/>
              </w:rPr>
            </w:pPr>
            <w:r>
              <w:rPr>
                <w:color w:val="666666"/>
                <w:sz w:val="40"/>
                <w:szCs w:val="40"/>
              </w:rPr>
              <w:t>Operations &amp; Training Risk Management Plan</w:t>
            </w:r>
          </w:p>
          <w:p w14:paraId="6A981F30" w14:textId="77777777" w:rsidR="00066D28" w:rsidRDefault="00066D28">
            <w:pPr>
              <w:spacing w:line="240" w:lineRule="auto"/>
              <w:jc w:val="center"/>
              <w:rPr>
                <w:sz w:val="36"/>
                <w:szCs w:val="36"/>
              </w:rPr>
            </w:pPr>
          </w:p>
        </w:tc>
        <w:tc>
          <w:tcPr>
            <w:tcW w:w="300" w:type="dxa"/>
            <w:tcBorders>
              <w:top w:val="single" w:sz="12" w:space="0" w:color="FFFFFF"/>
              <w:left w:val="nil"/>
              <w:bottom w:val="nil"/>
              <w:right w:val="nil"/>
            </w:tcBorders>
            <w:shd w:val="clear" w:color="auto" w:fill="auto"/>
            <w:tcMar>
              <w:top w:w="129" w:type="dxa"/>
              <w:left w:w="129" w:type="dxa"/>
              <w:bottom w:w="129" w:type="dxa"/>
              <w:right w:w="129" w:type="dxa"/>
            </w:tcMar>
          </w:tcPr>
          <w:p w14:paraId="68F17623" w14:textId="77777777" w:rsidR="00066D28" w:rsidRDefault="00066D28">
            <w:pPr>
              <w:spacing w:after="200" w:line="240" w:lineRule="auto"/>
              <w:ind w:right="-4425"/>
              <w:rPr>
                <w:color w:val="424242"/>
                <w:sz w:val="18"/>
                <w:szCs w:val="18"/>
              </w:rPr>
            </w:pPr>
          </w:p>
        </w:tc>
      </w:tr>
      <w:tr w:rsidR="00066D28" w14:paraId="6BF6DD52" w14:textId="77777777">
        <w:trPr>
          <w:trHeight w:val="540"/>
        </w:trPr>
        <w:tc>
          <w:tcPr>
            <w:tcW w:w="4860" w:type="dxa"/>
            <w:tcBorders>
              <w:top w:val="nil"/>
              <w:left w:val="nil"/>
              <w:bottom w:val="single" w:sz="8" w:space="0" w:color="34A853"/>
              <w:right w:val="nil"/>
            </w:tcBorders>
            <w:shd w:val="clear" w:color="auto" w:fill="auto"/>
            <w:tcMar>
              <w:top w:w="72" w:type="dxa"/>
              <w:left w:w="72" w:type="dxa"/>
              <w:bottom w:w="72" w:type="dxa"/>
              <w:right w:w="72" w:type="dxa"/>
            </w:tcMar>
          </w:tcPr>
          <w:p w14:paraId="56627B74" w14:textId="77777777" w:rsidR="00066D28" w:rsidRDefault="00981EE1">
            <w:pPr>
              <w:spacing w:line="240" w:lineRule="auto"/>
              <w:rPr>
                <w:color w:val="424242"/>
                <w:sz w:val="24"/>
                <w:szCs w:val="24"/>
              </w:rPr>
            </w:pPr>
            <w:r>
              <w:rPr>
                <w:b/>
                <w:color w:val="424242"/>
                <w:sz w:val="24"/>
                <w:szCs w:val="24"/>
              </w:rPr>
              <w:t>Author:</w:t>
            </w:r>
            <w:r>
              <w:rPr>
                <w:color w:val="424242"/>
                <w:sz w:val="24"/>
                <w:szCs w:val="24"/>
              </w:rPr>
              <w:t xml:space="preserve"> Project Manager</w:t>
            </w:r>
          </w:p>
          <w:p w14:paraId="1B26E6DC" w14:textId="77777777" w:rsidR="00066D28" w:rsidRDefault="00981EE1">
            <w:pPr>
              <w:spacing w:line="240" w:lineRule="auto"/>
              <w:rPr>
                <w:color w:val="424242"/>
                <w:sz w:val="24"/>
                <w:szCs w:val="24"/>
              </w:rPr>
            </w:pPr>
            <w:r>
              <w:rPr>
                <w:b/>
                <w:color w:val="424242"/>
                <w:sz w:val="24"/>
                <w:szCs w:val="24"/>
              </w:rPr>
              <w:t>Status:</w:t>
            </w:r>
            <w:r>
              <w:rPr>
                <w:color w:val="424242"/>
                <w:sz w:val="24"/>
                <w:szCs w:val="24"/>
              </w:rPr>
              <w:t xml:space="preserve"> Draft / Final </w:t>
            </w:r>
          </w:p>
        </w:tc>
        <w:tc>
          <w:tcPr>
            <w:tcW w:w="4485" w:type="dxa"/>
            <w:tcBorders>
              <w:top w:val="nil"/>
              <w:left w:val="nil"/>
              <w:bottom w:val="single" w:sz="8" w:space="0" w:color="34A853"/>
              <w:right w:val="nil"/>
            </w:tcBorders>
            <w:shd w:val="clear" w:color="auto" w:fill="auto"/>
            <w:tcMar>
              <w:top w:w="72" w:type="dxa"/>
              <w:left w:w="72" w:type="dxa"/>
              <w:bottom w:w="72" w:type="dxa"/>
              <w:right w:w="72" w:type="dxa"/>
            </w:tcMar>
          </w:tcPr>
          <w:p w14:paraId="3E7357F8" w14:textId="494A16FD" w:rsidR="00066D28" w:rsidRDefault="00981EE1">
            <w:pPr>
              <w:spacing w:line="240" w:lineRule="auto"/>
              <w:rPr>
                <w:color w:val="424242"/>
                <w:sz w:val="24"/>
                <w:szCs w:val="24"/>
              </w:rPr>
            </w:pPr>
            <w:r>
              <w:rPr>
                <w:b/>
                <w:color w:val="424242"/>
                <w:sz w:val="24"/>
                <w:szCs w:val="24"/>
              </w:rPr>
              <w:t xml:space="preserve">Created: </w:t>
            </w:r>
            <w:r w:rsidR="00ED2B4F">
              <w:rPr>
                <w:color w:val="424242"/>
                <w:sz w:val="24"/>
                <w:szCs w:val="24"/>
              </w:rPr>
              <w:t>Oct</w:t>
            </w:r>
            <w:r>
              <w:rPr>
                <w:color w:val="424242"/>
                <w:sz w:val="24"/>
                <w:szCs w:val="24"/>
              </w:rPr>
              <w:t xml:space="preserve"> </w:t>
            </w:r>
            <w:r w:rsidR="00ED2B4F">
              <w:rPr>
                <w:color w:val="424242"/>
                <w:sz w:val="24"/>
                <w:szCs w:val="24"/>
              </w:rPr>
              <w:t>3</w:t>
            </w:r>
          </w:p>
          <w:p w14:paraId="6A029AF6" w14:textId="6EC331F3" w:rsidR="00066D28" w:rsidRDefault="00981EE1">
            <w:pPr>
              <w:spacing w:line="240" w:lineRule="auto"/>
              <w:rPr>
                <w:color w:val="424242"/>
                <w:sz w:val="24"/>
                <w:szCs w:val="24"/>
              </w:rPr>
            </w:pPr>
            <w:r>
              <w:rPr>
                <w:b/>
                <w:color w:val="424242"/>
                <w:sz w:val="24"/>
                <w:szCs w:val="24"/>
              </w:rPr>
              <w:t>Updated:</w:t>
            </w:r>
            <w:r>
              <w:rPr>
                <w:color w:val="424242"/>
                <w:sz w:val="24"/>
                <w:szCs w:val="24"/>
              </w:rPr>
              <w:t xml:space="preserve"> </w:t>
            </w:r>
            <w:r w:rsidR="00ED2B4F">
              <w:rPr>
                <w:color w:val="424242"/>
                <w:sz w:val="24"/>
                <w:szCs w:val="24"/>
              </w:rPr>
              <w:t>Oct 3</w:t>
            </w:r>
          </w:p>
        </w:tc>
        <w:tc>
          <w:tcPr>
            <w:tcW w:w="300" w:type="dxa"/>
            <w:tcBorders>
              <w:top w:val="nil"/>
              <w:left w:val="nil"/>
              <w:bottom w:val="single" w:sz="8" w:space="0" w:color="BBDEFB"/>
              <w:right w:val="nil"/>
            </w:tcBorders>
            <w:shd w:val="clear" w:color="auto" w:fill="auto"/>
            <w:tcMar>
              <w:top w:w="72" w:type="dxa"/>
              <w:left w:w="72" w:type="dxa"/>
              <w:bottom w:w="72" w:type="dxa"/>
              <w:right w:w="72" w:type="dxa"/>
            </w:tcMar>
          </w:tcPr>
          <w:p w14:paraId="00FFAF5B" w14:textId="77777777" w:rsidR="00066D28" w:rsidRDefault="00066D28">
            <w:pPr>
              <w:spacing w:line="240" w:lineRule="auto"/>
              <w:rPr>
                <w:color w:val="424242"/>
                <w:sz w:val="18"/>
                <w:szCs w:val="18"/>
              </w:rPr>
            </w:pPr>
          </w:p>
        </w:tc>
      </w:tr>
    </w:tbl>
    <w:p w14:paraId="78957385" w14:textId="77777777" w:rsidR="00066D28" w:rsidRDefault="00981EE1">
      <w:pPr>
        <w:pStyle w:val="Ttulo1"/>
        <w:keepNext w:val="0"/>
        <w:keepLines w:val="0"/>
        <w:widowControl w:val="0"/>
        <w:spacing w:before="480" w:after="240"/>
        <w:rPr>
          <w:color w:val="34A853"/>
          <w:sz w:val="32"/>
          <w:szCs w:val="32"/>
        </w:rPr>
      </w:pPr>
      <w:bookmarkStart w:id="1" w:name="_1fob9te" w:colFirst="0" w:colLast="0"/>
      <w:bookmarkEnd w:id="1"/>
      <w:r>
        <w:rPr>
          <w:color w:val="34A853"/>
          <w:sz w:val="32"/>
          <w:szCs w:val="32"/>
        </w:rPr>
        <w:t>Objective</w:t>
      </w:r>
    </w:p>
    <w:p w14:paraId="28844E42" w14:textId="3DBF6F65" w:rsidR="00066D28" w:rsidRDefault="00ED2B4F">
      <w:pPr>
        <w:widowControl w:val="0"/>
        <w:rPr>
          <w:color w:val="1976D2"/>
          <w:sz w:val="32"/>
          <w:szCs w:val="32"/>
        </w:rPr>
      </w:pPr>
      <w:r w:rsidRPr="00ED2B4F">
        <w:rPr>
          <w:color w:val="434343"/>
        </w:rPr>
        <w:t>The purpose of this risk management plan is to identify and assess the potential risks associated with the launch of Plant Pals operations, and to establish effective strategies to mitigate them and ensure the success of the project.</w:t>
      </w:r>
    </w:p>
    <w:p w14:paraId="76BAF252" w14:textId="77777777" w:rsidR="00066D28" w:rsidRDefault="00981EE1">
      <w:pPr>
        <w:widowControl w:val="0"/>
        <w:rPr>
          <w:color w:val="34A853"/>
          <w:sz w:val="32"/>
          <w:szCs w:val="32"/>
        </w:rPr>
      </w:pPr>
      <w:r>
        <w:rPr>
          <w:color w:val="34A853"/>
          <w:sz w:val="32"/>
          <w:szCs w:val="32"/>
        </w:rPr>
        <w:t>Executive Summary</w:t>
      </w:r>
    </w:p>
    <w:p w14:paraId="7D5483EB" w14:textId="1FB236DD" w:rsidR="00066D28" w:rsidRDefault="00ED2B4F">
      <w:pPr>
        <w:widowControl w:val="0"/>
        <w:rPr>
          <w:color w:val="434343"/>
        </w:rPr>
      </w:pPr>
      <w:r w:rsidRPr="00ED2B4F">
        <w:rPr>
          <w:color w:val="434343"/>
        </w:rPr>
        <w:t>The Plant Pals project aims to launch a new line of sustainable gardening products. Key milestones include completion of staff training and on-time product delivery. However, there are significant budgetary risks, such as increased costs in the purchase of delivery trucks and higher vendor rates. In addition, the training schedule may be affected by staff shortages or illness of the training manager.</w:t>
      </w:r>
    </w:p>
    <w:p w14:paraId="2E55BBFE" w14:textId="77777777" w:rsidR="00066D28" w:rsidRDefault="00066D28">
      <w:pPr>
        <w:widowControl w:val="0"/>
        <w:rPr>
          <w:color w:val="434343"/>
        </w:rPr>
      </w:pPr>
    </w:p>
    <w:p w14:paraId="2A19CF39" w14:textId="77777777" w:rsidR="00066D28" w:rsidRDefault="00981EE1">
      <w:pPr>
        <w:widowControl w:val="0"/>
        <w:rPr>
          <w:b/>
          <w:color w:val="434343"/>
        </w:rPr>
      </w:pPr>
      <w:r>
        <w:rPr>
          <w:b/>
          <w:color w:val="434343"/>
        </w:rPr>
        <w:t>RISK TYPE ONE: Going over the project budget</w:t>
      </w:r>
    </w:p>
    <w:p w14:paraId="3B2F9047" w14:textId="77777777" w:rsidR="00066D28" w:rsidRDefault="00066D28">
      <w:pPr>
        <w:widowControl w:val="0"/>
        <w:rPr>
          <w:b/>
          <w:color w:val="434343"/>
        </w:rPr>
      </w:pPr>
    </w:p>
    <w:tbl>
      <w:tblPr>
        <w:tblStyle w:val="a0"/>
        <w:tblW w:w="9600" w:type="dxa"/>
        <w:tblInd w:w="115" w:type="dxa"/>
        <w:tblBorders>
          <w:top w:val="single" w:sz="12" w:space="0" w:color="C9DAF8"/>
          <w:left w:val="single" w:sz="12" w:space="0" w:color="C9DAF8"/>
          <w:bottom w:val="single" w:sz="12" w:space="0" w:color="C9DAF8"/>
          <w:right w:val="single" w:sz="12" w:space="0" w:color="C9DAF8"/>
          <w:insideH w:val="single" w:sz="12" w:space="0" w:color="C9DAF8"/>
          <w:insideV w:val="single" w:sz="12" w:space="0" w:color="C9DAF8"/>
        </w:tblBorders>
        <w:tblLayout w:type="fixed"/>
        <w:tblLook w:val="0600" w:firstRow="0" w:lastRow="0" w:firstColumn="0" w:lastColumn="0" w:noHBand="1" w:noVBand="1"/>
      </w:tblPr>
      <w:tblGrid>
        <w:gridCol w:w="2985"/>
        <w:gridCol w:w="1650"/>
        <w:gridCol w:w="4965"/>
      </w:tblGrid>
      <w:tr w:rsidR="00066D28" w14:paraId="6CB6C146" w14:textId="77777777">
        <w:trPr>
          <w:trHeight w:val="378"/>
        </w:trPr>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9DDDF4C" w14:textId="77777777" w:rsidR="00066D28" w:rsidRDefault="00981EE1">
            <w:pPr>
              <w:widowControl w:val="0"/>
              <w:spacing w:line="240" w:lineRule="auto"/>
              <w:jc w:val="center"/>
              <w:rPr>
                <w:b/>
                <w:color w:val="434343"/>
              </w:rPr>
            </w:pPr>
            <w:r>
              <w:rPr>
                <w:b/>
                <w:color w:val="434343"/>
              </w:rPr>
              <w:t>Scenario</w:t>
            </w:r>
          </w:p>
          <w:p w14:paraId="2ABED414" w14:textId="77777777" w:rsidR="00ED2B4F" w:rsidRDefault="00ED2B4F">
            <w:pPr>
              <w:widowControl w:val="0"/>
              <w:spacing w:line="240" w:lineRule="auto"/>
              <w:jc w:val="center"/>
              <w:rPr>
                <w:b/>
                <w:color w:val="434343"/>
              </w:rPr>
            </w:pP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5DAC666" w14:textId="77777777" w:rsidR="00066D28" w:rsidRDefault="00981EE1">
            <w:pPr>
              <w:widowControl w:val="0"/>
              <w:spacing w:line="240" w:lineRule="auto"/>
              <w:jc w:val="center"/>
              <w:rPr>
                <w:b/>
                <w:color w:val="434343"/>
              </w:rPr>
            </w:pPr>
            <w:r>
              <w:rPr>
                <w:b/>
                <w:color w:val="434343"/>
              </w:rPr>
              <w:t>Risk to project (L/M/H)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4FA2DAA" w14:textId="77777777" w:rsidR="00066D28" w:rsidRDefault="00981EE1">
            <w:pPr>
              <w:widowControl w:val="0"/>
              <w:spacing w:line="240" w:lineRule="auto"/>
              <w:jc w:val="center"/>
              <w:rPr>
                <w:b/>
                <w:color w:val="434343"/>
              </w:rPr>
            </w:pPr>
            <w:r>
              <w:rPr>
                <w:b/>
                <w:color w:val="434343"/>
              </w:rPr>
              <w:t>Mitigation Plan</w:t>
            </w:r>
          </w:p>
        </w:tc>
      </w:tr>
      <w:tr w:rsidR="00066D28" w14:paraId="1A7DCC3C"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A219790" w14:textId="10088977" w:rsidR="00066D28" w:rsidRDefault="00E20BA2">
            <w:pPr>
              <w:widowControl w:val="0"/>
              <w:spacing w:line="240" w:lineRule="auto"/>
              <w:rPr>
                <w:b/>
                <w:color w:val="6AA84F"/>
              </w:rPr>
            </w:pPr>
            <w:r w:rsidRPr="00E20BA2">
              <w:rPr>
                <w:b/>
                <w:color w:val="6AA84F"/>
              </w:rPr>
              <w:t>The cost of each delivery truck exceeds the initial quotation by USD 16,000.</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5C02FFA" w14:textId="451C5168" w:rsidR="00066D28" w:rsidRDefault="00ED2B4F">
            <w:pPr>
              <w:widowControl w:val="0"/>
              <w:spacing w:line="240" w:lineRule="auto"/>
              <w:rPr>
                <w:b/>
                <w:color w:val="6AA84F"/>
              </w:rPr>
            </w:pPr>
            <w:r w:rsidRPr="00ED2B4F">
              <w:rPr>
                <w:b/>
                <w:color w:val="6AA84F"/>
              </w:rPr>
              <w:t>High (H)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8FD5A4C" w14:textId="226F95DE" w:rsidR="00066D28" w:rsidRDefault="00ED2B4F">
            <w:pPr>
              <w:widowControl w:val="0"/>
              <w:spacing w:line="240" w:lineRule="auto"/>
            </w:pPr>
            <w:r w:rsidRPr="00ED2B4F">
              <w:t>Negotiate fixed prices with the supplier and create a contingency fund.</w:t>
            </w:r>
          </w:p>
        </w:tc>
      </w:tr>
      <w:tr w:rsidR="00066D28" w14:paraId="3110A928"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710DD3B" w14:textId="41A44EF4" w:rsidR="00066D28" w:rsidRDefault="00ED2B4F">
            <w:pPr>
              <w:widowControl w:val="0"/>
              <w:spacing w:line="240" w:lineRule="auto"/>
              <w:rPr>
                <w:b/>
                <w:color w:val="E69138"/>
              </w:rPr>
            </w:pPr>
            <w:r w:rsidRPr="00ED2B4F">
              <w:rPr>
                <w:b/>
                <w:color w:val="E69138"/>
              </w:rPr>
              <w:t>Supplier charges a higher-than-expected fee</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D040C8F" w14:textId="5AE413DB" w:rsidR="00066D28" w:rsidRDefault="00ED2B4F">
            <w:pPr>
              <w:widowControl w:val="0"/>
              <w:spacing w:line="240" w:lineRule="auto"/>
              <w:rPr>
                <w:b/>
                <w:color w:val="E69138"/>
              </w:rPr>
            </w:pPr>
            <w:r w:rsidRPr="00ED2B4F">
              <w:rPr>
                <w:b/>
                <w:color w:val="E69138"/>
              </w:rPr>
              <w:t>Medium (M)</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F62818B" w14:textId="2231B5B7" w:rsidR="00066D28" w:rsidRDefault="00ED2B4F">
            <w:pPr>
              <w:widowControl w:val="0"/>
              <w:spacing w:line="240" w:lineRule="auto"/>
            </w:pPr>
            <w:r w:rsidRPr="00ED2B4F">
              <w:t>Research and compare prices from different suppliers to ensure the best possible rate.</w:t>
            </w:r>
          </w:p>
        </w:tc>
      </w:tr>
      <w:tr w:rsidR="00066D28" w14:paraId="4E00CEF9"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7364084" w14:textId="73471C24" w:rsidR="00066D28" w:rsidRDefault="00ED2B4F">
            <w:pPr>
              <w:widowControl w:val="0"/>
              <w:spacing w:line="240" w:lineRule="auto"/>
              <w:rPr>
                <w:b/>
                <w:color w:val="E06666"/>
              </w:rPr>
            </w:pPr>
            <w:r w:rsidRPr="00ED2B4F">
              <w:rPr>
                <w:b/>
                <w:color w:val="E06666"/>
              </w:rPr>
              <w:t>Supplier loses a shipment</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755F1C1" w14:textId="3E527AD9" w:rsidR="00066D28" w:rsidRDefault="00ED2B4F">
            <w:pPr>
              <w:widowControl w:val="0"/>
              <w:spacing w:line="240" w:lineRule="auto"/>
              <w:rPr>
                <w:b/>
                <w:color w:val="E06666"/>
              </w:rPr>
            </w:pPr>
            <w:r w:rsidRPr="00ED2B4F">
              <w:rPr>
                <w:b/>
                <w:color w:val="E06666"/>
              </w:rPr>
              <w:t>Medium (M)</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7283EE0" w14:textId="41EBE7A4" w:rsidR="00066D28" w:rsidRDefault="00ED2B4F">
            <w:pPr>
              <w:widowControl w:val="0"/>
              <w:spacing w:line="240" w:lineRule="auto"/>
            </w:pPr>
            <w:r w:rsidRPr="00ED2B4F">
              <w:t>Ensure shipping insurance and diversify suppliers to minimize reliance on a single source.</w:t>
            </w:r>
          </w:p>
        </w:tc>
      </w:tr>
    </w:tbl>
    <w:p w14:paraId="1010F7C2" w14:textId="77777777" w:rsidR="00066D28" w:rsidRDefault="00066D28">
      <w:pPr>
        <w:rPr>
          <w:sz w:val="28"/>
          <w:szCs w:val="28"/>
        </w:rPr>
      </w:pPr>
    </w:p>
    <w:p w14:paraId="75FD8405" w14:textId="77777777" w:rsidR="00066D28" w:rsidRDefault="00066D28">
      <w:pPr>
        <w:rPr>
          <w:sz w:val="28"/>
          <w:szCs w:val="28"/>
        </w:rPr>
      </w:pPr>
    </w:p>
    <w:p w14:paraId="19BEBD03" w14:textId="77777777" w:rsidR="00066D28" w:rsidRDefault="00981EE1">
      <w:pPr>
        <w:widowControl w:val="0"/>
        <w:rPr>
          <w:b/>
          <w:color w:val="434343"/>
        </w:rPr>
      </w:pPr>
      <w:r>
        <w:rPr>
          <w:b/>
          <w:color w:val="434343"/>
        </w:rPr>
        <w:t>RISK TYPE TWO: Falling behind the training schedule</w:t>
      </w:r>
    </w:p>
    <w:p w14:paraId="4565E60B" w14:textId="77777777" w:rsidR="00066D28" w:rsidRDefault="00066D28">
      <w:pPr>
        <w:widowControl w:val="0"/>
        <w:rPr>
          <w:b/>
          <w:color w:val="434343"/>
        </w:rPr>
      </w:pPr>
    </w:p>
    <w:tbl>
      <w:tblPr>
        <w:tblStyle w:val="a1"/>
        <w:tblW w:w="9600" w:type="dxa"/>
        <w:tblInd w:w="115" w:type="dxa"/>
        <w:tblBorders>
          <w:top w:val="single" w:sz="12" w:space="0" w:color="C9DAF8"/>
          <w:left w:val="single" w:sz="12" w:space="0" w:color="C9DAF8"/>
          <w:bottom w:val="single" w:sz="12" w:space="0" w:color="C9DAF8"/>
          <w:right w:val="single" w:sz="12" w:space="0" w:color="C9DAF8"/>
          <w:insideH w:val="single" w:sz="12" w:space="0" w:color="C9DAF8"/>
          <w:insideV w:val="single" w:sz="12" w:space="0" w:color="C9DAF8"/>
        </w:tblBorders>
        <w:tblLayout w:type="fixed"/>
        <w:tblLook w:val="0600" w:firstRow="0" w:lastRow="0" w:firstColumn="0" w:lastColumn="0" w:noHBand="1" w:noVBand="1"/>
      </w:tblPr>
      <w:tblGrid>
        <w:gridCol w:w="2985"/>
        <w:gridCol w:w="1650"/>
        <w:gridCol w:w="4965"/>
      </w:tblGrid>
      <w:tr w:rsidR="00066D28" w14:paraId="56155DA5" w14:textId="77777777">
        <w:trPr>
          <w:trHeight w:val="378"/>
        </w:trPr>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137188C" w14:textId="77777777" w:rsidR="00066D28" w:rsidRDefault="00981EE1">
            <w:pPr>
              <w:widowControl w:val="0"/>
              <w:spacing w:line="240" w:lineRule="auto"/>
              <w:jc w:val="center"/>
              <w:rPr>
                <w:b/>
                <w:color w:val="434343"/>
              </w:rPr>
            </w:pPr>
            <w:r>
              <w:rPr>
                <w:b/>
                <w:color w:val="434343"/>
              </w:rPr>
              <w:t>Scenario</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9B5A9EB" w14:textId="77777777" w:rsidR="00066D28" w:rsidRDefault="00981EE1">
            <w:pPr>
              <w:widowControl w:val="0"/>
              <w:spacing w:line="240" w:lineRule="auto"/>
              <w:jc w:val="center"/>
              <w:rPr>
                <w:b/>
                <w:color w:val="434343"/>
              </w:rPr>
            </w:pPr>
            <w:r>
              <w:rPr>
                <w:b/>
                <w:color w:val="434343"/>
              </w:rPr>
              <w:t>Risk to project (L/M/H)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9448E55" w14:textId="77777777" w:rsidR="00066D28" w:rsidRDefault="00981EE1">
            <w:pPr>
              <w:widowControl w:val="0"/>
              <w:spacing w:line="240" w:lineRule="auto"/>
              <w:jc w:val="center"/>
              <w:rPr>
                <w:b/>
                <w:color w:val="434343"/>
              </w:rPr>
            </w:pPr>
            <w:r>
              <w:rPr>
                <w:b/>
                <w:color w:val="434343"/>
              </w:rPr>
              <w:t>Mitigation Plan</w:t>
            </w:r>
          </w:p>
        </w:tc>
      </w:tr>
      <w:tr w:rsidR="00066D28" w14:paraId="07E134E0"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CB66C12" w14:textId="701AC3A5" w:rsidR="00066D28" w:rsidRDefault="00ED2B4F">
            <w:pPr>
              <w:widowControl w:val="0"/>
              <w:spacing w:line="240" w:lineRule="auto"/>
              <w:rPr>
                <w:b/>
                <w:color w:val="6AA84F"/>
              </w:rPr>
            </w:pPr>
            <w:r w:rsidRPr="00ED2B4F">
              <w:rPr>
                <w:b/>
                <w:color w:val="6AA84F"/>
              </w:rPr>
              <w:t>Training manager falls ill and misses a week of training</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D5C9BF2" w14:textId="089D22F8" w:rsidR="00066D28" w:rsidRDefault="00ED2B4F">
            <w:pPr>
              <w:widowControl w:val="0"/>
              <w:spacing w:line="240" w:lineRule="auto"/>
              <w:rPr>
                <w:b/>
                <w:color w:val="6AA84F"/>
              </w:rPr>
            </w:pPr>
            <w:r w:rsidRPr="00ED2B4F">
              <w:rPr>
                <w:b/>
                <w:color w:val="6AA84F"/>
              </w:rPr>
              <w:t>Medium (M)</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4D76F99" w14:textId="1613207A" w:rsidR="00066D28" w:rsidRDefault="00ED2B4F">
            <w:pPr>
              <w:widowControl w:val="0"/>
              <w:spacing w:line="240" w:lineRule="auto"/>
            </w:pPr>
            <w:proofErr w:type="gramStart"/>
            <w:r w:rsidRPr="00ED2B4F">
              <w:t>Cross-train</w:t>
            </w:r>
            <w:proofErr w:type="gramEnd"/>
            <w:r w:rsidRPr="00ED2B4F">
              <w:t xml:space="preserve"> other team members to ensure continuity of training delivery.</w:t>
            </w:r>
          </w:p>
        </w:tc>
      </w:tr>
      <w:tr w:rsidR="00066D28" w14:paraId="68054E1F"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65B62541" w14:textId="236A9D80" w:rsidR="00066D28" w:rsidRDefault="00ED2B4F">
            <w:pPr>
              <w:widowControl w:val="0"/>
              <w:spacing w:line="240" w:lineRule="auto"/>
              <w:rPr>
                <w:b/>
                <w:color w:val="E69138"/>
              </w:rPr>
            </w:pPr>
            <w:r w:rsidRPr="00ED2B4F">
              <w:rPr>
                <w:b/>
                <w:color w:val="E69138"/>
              </w:rPr>
              <w:t>Insufficient hiring of employees before training</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7C00B14" w14:textId="2B7C5CBF" w:rsidR="00066D28" w:rsidRDefault="00ED2B4F">
            <w:pPr>
              <w:widowControl w:val="0"/>
              <w:spacing w:line="240" w:lineRule="auto"/>
              <w:rPr>
                <w:b/>
                <w:color w:val="E69138"/>
              </w:rPr>
            </w:pPr>
            <w:r w:rsidRPr="00ED2B4F">
              <w:rPr>
                <w:b/>
                <w:color w:val="E69138"/>
              </w:rPr>
              <w:t>High (H)</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D75B749" w14:textId="4408FDD1" w:rsidR="00066D28" w:rsidRDefault="00ED2B4F">
            <w:pPr>
              <w:widowControl w:val="0"/>
              <w:spacing w:line="240" w:lineRule="auto"/>
            </w:pPr>
            <w:r w:rsidRPr="00ED2B4F">
              <w:t>Start the hiring process early and implement incentives for quick recruitment.</w:t>
            </w:r>
          </w:p>
        </w:tc>
      </w:tr>
      <w:tr w:rsidR="00066D28" w14:paraId="2C8C60FB" w14:textId="77777777">
        <w:tc>
          <w:tcPr>
            <w:tcW w:w="298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E92FCF7" w14:textId="3EB4E331" w:rsidR="00066D28" w:rsidRDefault="00ED2B4F">
            <w:pPr>
              <w:widowControl w:val="0"/>
              <w:spacing w:line="240" w:lineRule="auto"/>
              <w:rPr>
                <w:b/>
                <w:color w:val="E06666"/>
              </w:rPr>
            </w:pPr>
            <w:r w:rsidRPr="00ED2B4F">
              <w:rPr>
                <w:b/>
                <w:color w:val="E06666"/>
              </w:rPr>
              <w:t>More than 50% of employees resign after difficult training</w:t>
            </w:r>
          </w:p>
        </w:tc>
        <w:tc>
          <w:tcPr>
            <w:tcW w:w="165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7FF5351" w14:textId="665DE354" w:rsidR="00066D28" w:rsidRDefault="00ED2B4F">
            <w:pPr>
              <w:widowControl w:val="0"/>
              <w:spacing w:line="240" w:lineRule="auto"/>
              <w:rPr>
                <w:b/>
                <w:color w:val="E06666"/>
              </w:rPr>
            </w:pPr>
            <w:r w:rsidRPr="00ED2B4F">
              <w:rPr>
                <w:b/>
                <w:color w:val="E06666"/>
              </w:rPr>
              <w:t>Low (L)</w:t>
            </w:r>
          </w:p>
        </w:tc>
        <w:tc>
          <w:tcPr>
            <w:tcW w:w="496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92C1E1E" w14:textId="58722D20" w:rsidR="00066D28" w:rsidRDefault="00ED2B4F">
            <w:pPr>
              <w:widowControl w:val="0"/>
              <w:spacing w:line="240" w:lineRule="auto"/>
            </w:pPr>
            <w:r w:rsidRPr="00ED2B4F">
              <w:t>Enhance training support and feedback mechanisms to improve employee retention and satisfaction.</w:t>
            </w:r>
          </w:p>
        </w:tc>
      </w:tr>
    </w:tbl>
    <w:p w14:paraId="20714F3B" w14:textId="77777777" w:rsidR="00066D28" w:rsidRDefault="00066D28">
      <w:pPr>
        <w:rPr>
          <w:sz w:val="28"/>
          <w:szCs w:val="28"/>
        </w:rPr>
      </w:pPr>
    </w:p>
    <w:p w14:paraId="35F9604D" w14:textId="77777777" w:rsidR="00066D28" w:rsidRDefault="00066D28">
      <w:pPr>
        <w:rPr>
          <w:color w:val="34A853"/>
          <w:sz w:val="32"/>
          <w:szCs w:val="32"/>
        </w:rPr>
      </w:pPr>
    </w:p>
    <w:p w14:paraId="3AF049F5" w14:textId="77777777" w:rsidR="00066D28" w:rsidRDefault="00981EE1">
      <w:pPr>
        <w:rPr>
          <w:color w:val="34A853"/>
          <w:sz w:val="28"/>
          <w:szCs w:val="28"/>
        </w:rPr>
      </w:pPr>
      <w:r>
        <w:rPr>
          <w:color w:val="34A853"/>
          <w:sz w:val="32"/>
          <w:szCs w:val="32"/>
        </w:rPr>
        <w:t>Appendix:</w:t>
      </w:r>
    </w:p>
    <w:p w14:paraId="2F5209A2" w14:textId="77777777" w:rsidR="00066D28" w:rsidRDefault="00066D28"/>
    <w:p w14:paraId="79484638" w14:textId="77777777" w:rsidR="00066D28" w:rsidRDefault="00981EE1">
      <w:pPr>
        <w:rPr>
          <w:b/>
        </w:rPr>
      </w:pPr>
      <w:r>
        <w:rPr>
          <w:b/>
        </w:rPr>
        <w:t>Probability chart:</w:t>
      </w:r>
    </w:p>
    <w:p w14:paraId="64BABF4A" w14:textId="77777777" w:rsidR="00066D28" w:rsidRDefault="00066D28"/>
    <w:tbl>
      <w:tblPr>
        <w:tblStyle w:val="a2"/>
        <w:tblW w:w="9585" w:type="dxa"/>
        <w:tblBorders>
          <w:top w:val="nil"/>
          <w:left w:val="nil"/>
          <w:bottom w:val="nil"/>
          <w:right w:val="nil"/>
          <w:insideH w:val="nil"/>
          <w:insideV w:val="nil"/>
        </w:tblBorders>
        <w:tblLayout w:type="fixed"/>
        <w:tblLook w:val="0600" w:firstRow="0" w:lastRow="0" w:firstColumn="0" w:lastColumn="0" w:noHBand="1" w:noVBand="1"/>
      </w:tblPr>
      <w:tblGrid>
        <w:gridCol w:w="1500"/>
        <w:gridCol w:w="3975"/>
        <w:gridCol w:w="4110"/>
      </w:tblGrid>
      <w:tr w:rsidR="00066D28" w14:paraId="77BEAAA2" w14:textId="77777777">
        <w:trPr>
          <w:trHeight w:val="315"/>
        </w:trPr>
        <w:tc>
          <w:tcPr>
            <w:tcW w:w="9585" w:type="dxa"/>
            <w:gridSpan w:val="3"/>
            <w:tcBorders>
              <w:top w:val="single" w:sz="7" w:space="0" w:color="D9D9D9"/>
              <w:left w:val="single" w:sz="7" w:space="0" w:color="D9D9D9"/>
              <w:bottom w:val="single" w:sz="7" w:space="0" w:color="D9D9D9"/>
              <w:right w:val="single" w:sz="7" w:space="0" w:color="D9D9D9"/>
            </w:tcBorders>
            <w:shd w:val="clear" w:color="auto" w:fill="34A853"/>
            <w:tcMar>
              <w:top w:w="40" w:type="dxa"/>
              <w:left w:w="40" w:type="dxa"/>
              <w:bottom w:w="40" w:type="dxa"/>
              <w:right w:w="40" w:type="dxa"/>
            </w:tcMar>
            <w:vAlign w:val="center"/>
          </w:tcPr>
          <w:p w14:paraId="6B4957EA" w14:textId="77777777" w:rsidR="00066D28" w:rsidRDefault="00981EE1">
            <w:pPr>
              <w:widowControl w:val="0"/>
              <w:jc w:val="center"/>
              <w:rPr>
                <w:b/>
                <w:color w:val="FFFFFF"/>
              </w:rPr>
            </w:pPr>
            <w:r>
              <w:rPr>
                <w:b/>
                <w:color w:val="FFFFFF"/>
              </w:rPr>
              <w:t>Probability</w:t>
            </w:r>
          </w:p>
        </w:tc>
      </w:tr>
      <w:tr w:rsidR="00066D28" w14:paraId="35B60055" w14:textId="77777777">
        <w:trPr>
          <w:trHeight w:val="315"/>
        </w:trPr>
        <w:tc>
          <w:tcPr>
            <w:tcW w:w="150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8A50827" w14:textId="77777777" w:rsidR="00066D28" w:rsidRDefault="00066D28">
            <w:pPr>
              <w:widowControl w:val="0"/>
            </w:pPr>
          </w:p>
        </w:tc>
        <w:tc>
          <w:tcPr>
            <w:tcW w:w="397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E36B163" w14:textId="77777777" w:rsidR="00066D28" w:rsidRDefault="00981EE1">
            <w:pPr>
              <w:widowControl w:val="0"/>
              <w:jc w:val="center"/>
              <w:rPr>
                <w:b/>
              </w:rPr>
            </w:pPr>
            <w:r>
              <w:rPr>
                <w:b/>
              </w:rPr>
              <w:t>Qualitative</w:t>
            </w:r>
          </w:p>
        </w:tc>
        <w:tc>
          <w:tcPr>
            <w:tcW w:w="41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33FE80D" w14:textId="77777777" w:rsidR="00066D28" w:rsidRDefault="00981EE1">
            <w:pPr>
              <w:widowControl w:val="0"/>
              <w:jc w:val="center"/>
              <w:rPr>
                <w:b/>
              </w:rPr>
            </w:pPr>
            <w:r>
              <w:rPr>
                <w:b/>
              </w:rPr>
              <w:t>Quantitative (if measurable)</w:t>
            </w:r>
          </w:p>
        </w:tc>
      </w:tr>
      <w:tr w:rsidR="00E20BA2" w14:paraId="189DE2A2" w14:textId="77777777">
        <w:trPr>
          <w:trHeight w:val="1545"/>
        </w:trPr>
        <w:tc>
          <w:tcPr>
            <w:tcW w:w="1500" w:type="dxa"/>
            <w:vMerge w:val="restart"/>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22378CE8" w14:textId="60D3E94B" w:rsidR="00E20BA2" w:rsidRDefault="00E20BA2" w:rsidP="00E20BA2">
            <w:pPr>
              <w:widowControl w:val="0"/>
              <w:jc w:val="center"/>
              <w:rPr>
                <w:b/>
              </w:rPr>
            </w:pPr>
            <w:r>
              <w:rPr>
                <w:b/>
              </w:rPr>
              <w:t>Low</w:t>
            </w:r>
          </w:p>
        </w:tc>
        <w:tc>
          <w:tcPr>
            <w:tcW w:w="3975"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8255375" w14:textId="564E0D6A" w:rsidR="00E20BA2" w:rsidRDefault="00E20BA2" w:rsidP="00E20BA2">
            <w:pPr>
              <w:widowControl w:val="0"/>
            </w:pPr>
            <w:r>
              <w:t xml:space="preserve">Very low chance of risk occurring. </w:t>
            </w:r>
          </w:p>
        </w:tc>
        <w:tc>
          <w:tcPr>
            <w:tcW w:w="4110"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AFF8BAA" w14:textId="4EEC0226" w:rsidR="00E20BA2" w:rsidRDefault="00E20BA2" w:rsidP="00E20BA2">
            <w:pPr>
              <w:widowControl w:val="0"/>
            </w:pPr>
            <w:r>
              <w:t>Less than &lt;10% chance of risk occurring.</w:t>
            </w:r>
          </w:p>
        </w:tc>
      </w:tr>
      <w:tr w:rsidR="00E20BA2" w14:paraId="3AFFB585" w14:textId="77777777" w:rsidTr="00E20BA2">
        <w:trPr>
          <w:trHeight w:val="291"/>
        </w:trPr>
        <w:tc>
          <w:tcPr>
            <w:tcW w:w="1500" w:type="dxa"/>
            <w:vMerge/>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7C0C2D93" w14:textId="77777777" w:rsidR="00E20BA2" w:rsidRDefault="00E20BA2" w:rsidP="00E20BA2">
            <w:pPr>
              <w:widowControl w:val="0"/>
              <w:pBdr>
                <w:top w:val="nil"/>
                <w:left w:val="nil"/>
                <w:bottom w:val="nil"/>
                <w:right w:val="nil"/>
                <w:between w:val="nil"/>
              </w:pBdr>
            </w:pPr>
          </w:p>
        </w:tc>
        <w:tc>
          <w:tcPr>
            <w:tcW w:w="3975"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A3D609A" w14:textId="77777777" w:rsidR="00E20BA2" w:rsidRDefault="00E20BA2" w:rsidP="00E20BA2">
            <w:pPr>
              <w:widowControl w:val="0"/>
              <w:pBdr>
                <w:top w:val="nil"/>
                <w:left w:val="nil"/>
                <w:bottom w:val="nil"/>
                <w:right w:val="nil"/>
                <w:between w:val="nil"/>
              </w:pBdr>
            </w:pPr>
          </w:p>
        </w:tc>
        <w:tc>
          <w:tcPr>
            <w:tcW w:w="4110"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FAFEC0F" w14:textId="77777777" w:rsidR="00E20BA2" w:rsidRDefault="00E20BA2" w:rsidP="00E20BA2">
            <w:pPr>
              <w:widowControl w:val="0"/>
              <w:pBdr>
                <w:top w:val="nil"/>
                <w:left w:val="nil"/>
                <w:bottom w:val="nil"/>
                <w:right w:val="nil"/>
                <w:between w:val="nil"/>
              </w:pBdr>
            </w:pPr>
          </w:p>
        </w:tc>
      </w:tr>
      <w:tr w:rsidR="00E20BA2" w14:paraId="7DE0619A" w14:textId="77777777" w:rsidTr="00E20BA2">
        <w:trPr>
          <w:trHeight w:val="1077"/>
        </w:trPr>
        <w:tc>
          <w:tcPr>
            <w:tcW w:w="150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7EE38063" w14:textId="65FDA915" w:rsidR="00E20BA2" w:rsidRDefault="00E20BA2" w:rsidP="00E20BA2">
            <w:pPr>
              <w:widowControl w:val="0"/>
              <w:jc w:val="center"/>
              <w:rPr>
                <w:b/>
              </w:rPr>
            </w:pPr>
            <w:r>
              <w:rPr>
                <w:b/>
              </w:rPr>
              <w:t>Medium</w:t>
            </w:r>
          </w:p>
        </w:tc>
        <w:tc>
          <w:tcPr>
            <w:tcW w:w="397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8C14455" w14:textId="4520CE71" w:rsidR="00E20BA2" w:rsidRDefault="00E20BA2" w:rsidP="00E20BA2">
            <w:pPr>
              <w:widowControl w:val="0"/>
            </w:pPr>
            <w:r>
              <w:t>Medium chance of risk occurring.</w:t>
            </w:r>
          </w:p>
        </w:tc>
        <w:tc>
          <w:tcPr>
            <w:tcW w:w="41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29676026" w14:textId="103811A2" w:rsidR="00E20BA2" w:rsidRDefault="00E20BA2" w:rsidP="00E20BA2">
            <w:pPr>
              <w:widowControl w:val="0"/>
            </w:pPr>
            <w:r>
              <w:t>10%-49% chance of risk occurring.</w:t>
            </w:r>
          </w:p>
        </w:tc>
      </w:tr>
      <w:tr w:rsidR="00E20BA2" w14:paraId="76CAD7F5" w14:textId="77777777">
        <w:trPr>
          <w:trHeight w:val="1425"/>
        </w:trPr>
        <w:tc>
          <w:tcPr>
            <w:tcW w:w="1500" w:type="dxa"/>
            <w:vMerge w:val="restart"/>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240D3BF2" w14:textId="4769CE54" w:rsidR="00E20BA2" w:rsidRDefault="00E20BA2" w:rsidP="00E20BA2">
            <w:pPr>
              <w:widowControl w:val="0"/>
              <w:jc w:val="center"/>
              <w:rPr>
                <w:b/>
              </w:rPr>
            </w:pPr>
            <w:r>
              <w:rPr>
                <w:b/>
              </w:rPr>
              <w:t>High</w:t>
            </w:r>
          </w:p>
        </w:tc>
        <w:tc>
          <w:tcPr>
            <w:tcW w:w="3975"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2AC17514" w14:textId="1D45EA08" w:rsidR="00E20BA2" w:rsidRDefault="00E20BA2" w:rsidP="00E20BA2">
            <w:pPr>
              <w:widowControl w:val="0"/>
            </w:pPr>
            <w:r>
              <w:t>High chance of risk occurring.</w:t>
            </w:r>
          </w:p>
        </w:tc>
        <w:tc>
          <w:tcPr>
            <w:tcW w:w="4110"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AB542A7" w14:textId="31A78A1B" w:rsidR="00E20BA2" w:rsidRDefault="00E20BA2" w:rsidP="00E20BA2">
            <w:pPr>
              <w:widowControl w:val="0"/>
            </w:pPr>
            <w:r>
              <w:t>50%-100% chance of risk occurring.</w:t>
            </w:r>
          </w:p>
        </w:tc>
      </w:tr>
      <w:tr w:rsidR="00066D28" w14:paraId="19BE664A" w14:textId="77777777">
        <w:trPr>
          <w:trHeight w:val="291"/>
        </w:trPr>
        <w:tc>
          <w:tcPr>
            <w:tcW w:w="1500" w:type="dxa"/>
            <w:vMerge/>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5ECBC34B" w14:textId="77777777" w:rsidR="00066D28" w:rsidRDefault="00066D28">
            <w:pPr>
              <w:widowControl w:val="0"/>
              <w:pBdr>
                <w:top w:val="nil"/>
                <w:left w:val="nil"/>
                <w:bottom w:val="nil"/>
                <w:right w:val="nil"/>
                <w:between w:val="nil"/>
              </w:pBdr>
            </w:pPr>
          </w:p>
        </w:tc>
        <w:tc>
          <w:tcPr>
            <w:tcW w:w="3975"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A1006A9" w14:textId="77777777" w:rsidR="00066D28" w:rsidRDefault="00066D28">
            <w:pPr>
              <w:widowControl w:val="0"/>
              <w:pBdr>
                <w:top w:val="nil"/>
                <w:left w:val="nil"/>
                <w:bottom w:val="nil"/>
                <w:right w:val="nil"/>
                <w:between w:val="nil"/>
              </w:pBdr>
            </w:pPr>
          </w:p>
        </w:tc>
        <w:tc>
          <w:tcPr>
            <w:tcW w:w="4110"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3DC693E" w14:textId="77777777" w:rsidR="00066D28" w:rsidRDefault="00066D28">
            <w:pPr>
              <w:widowControl w:val="0"/>
              <w:pBdr>
                <w:top w:val="nil"/>
                <w:left w:val="nil"/>
                <w:bottom w:val="nil"/>
                <w:right w:val="nil"/>
                <w:between w:val="nil"/>
              </w:pBdr>
            </w:pPr>
          </w:p>
        </w:tc>
      </w:tr>
    </w:tbl>
    <w:p w14:paraId="3866D48A" w14:textId="77777777" w:rsidR="00066D28" w:rsidRDefault="00066D28"/>
    <w:p w14:paraId="5BF479B0" w14:textId="77777777" w:rsidR="00066D28" w:rsidRDefault="00066D28">
      <w:pPr>
        <w:rPr>
          <w:b/>
        </w:rPr>
      </w:pPr>
    </w:p>
    <w:p w14:paraId="4CED40AF" w14:textId="77777777" w:rsidR="00066D28" w:rsidRDefault="00066D28">
      <w:pPr>
        <w:rPr>
          <w:b/>
        </w:rPr>
      </w:pPr>
    </w:p>
    <w:p w14:paraId="44D75B0E" w14:textId="77777777" w:rsidR="00066D28" w:rsidRDefault="00981EE1">
      <w:pPr>
        <w:rPr>
          <w:b/>
        </w:rPr>
      </w:pPr>
      <w:r>
        <w:rPr>
          <w:b/>
        </w:rPr>
        <w:t>Impact chart:</w:t>
      </w:r>
    </w:p>
    <w:p w14:paraId="14CD0DFE" w14:textId="77777777" w:rsidR="00066D28" w:rsidRDefault="00066D28"/>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1500"/>
        <w:gridCol w:w="2655"/>
        <w:gridCol w:w="2580"/>
        <w:gridCol w:w="2880"/>
      </w:tblGrid>
      <w:tr w:rsidR="00E20BA2" w14:paraId="661E28D6" w14:textId="77777777" w:rsidTr="00C359A7">
        <w:trPr>
          <w:trHeight w:val="315"/>
        </w:trPr>
        <w:tc>
          <w:tcPr>
            <w:tcW w:w="1500" w:type="dxa"/>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bottom"/>
          </w:tcPr>
          <w:p w14:paraId="04F3065D" w14:textId="77777777" w:rsidR="00E20BA2" w:rsidRDefault="00E20BA2" w:rsidP="00C359A7">
            <w:pPr>
              <w:widowControl w:val="0"/>
              <w:jc w:val="center"/>
              <w:rPr>
                <w:b/>
              </w:rPr>
            </w:pPr>
            <w:r>
              <w:rPr>
                <w:b/>
              </w:rPr>
              <w:t>Types of Impact</w:t>
            </w:r>
          </w:p>
        </w:tc>
        <w:tc>
          <w:tcPr>
            <w:tcW w:w="2655"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bottom"/>
          </w:tcPr>
          <w:p w14:paraId="7A47D0F5" w14:textId="77777777" w:rsidR="00E20BA2" w:rsidRDefault="00E20BA2" w:rsidP="00C359A7">
            <w:pPr>
              <w:widowControl w:val="0"/>
              <w:jc w:val="center"/>
              <w:rPr>
                <w:b/>
              </w:rPr>
            </w:pPr>
            <w:r>
              <w:rPr>
                <w:b/>
              </w:rPr>
              <w:t>Low</w:t>
            </w:r>
          </w:p>
        </w:tc>
        <w:tc>
          <w:tcPr>
            <w:tcW w:w="258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bottom"/>
          </w:tcPr>
          <w:p w14:paraId="30284988" w14:textId="77777777" w:rsidR="00E20BA2" w:rsidRDefault="00E20BA2" w:rsidP="00C359A7">
            <w:pPr>
              <w:widowControl w:val="0"/>
              <w:jc w:val="center"/>
              <w:rPr>
                <w:b/>
              </w:rPr>
            </w:pPr>
            <w:r>
              <w:rPr>
                <w:b/>
              </w:rPr>
              <w:t>Medium</w:t>
            </w:r>
          </w:p>
        </w:tc>
        <w:tc>
          <w:tcPr>
            <w:tcW w:w="288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bottom"/>
          </w:tcPr>
          <w:p w14:paraId="1499AA12" w14:textId="77777777" w:rsidR="00E20BA2" w:rsidRDefault="00E20BA2" w:rsidP="00C359A7">
            <w:pPr>
              <w:widowControl w:val="0"/>
              <w:jc w:val="center"/>
              <w:rPr>
                <w:b/>
              </w:rPr>
            </w:pPr>
            <w:r>
              <w:rPr>
                <w:b/>
              </w:rPr>
              <w:t>High</w:t>
            </w:r>
          </w:p>
        </w:tc>
      </w:tr>
      <w:tr w:rsidR="00E20BA2" w14:paraId="10C80617" w14:textId="77777777" w:rsidTr="00C359A7">
        <w:trPr>
          <w:trHeight w:val="450"/>
        </w:trPr>
        <w:tc>
          <w:tcPr>
            <w:tcW w:w="150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2E1191B4" w14:textId="77777777" w:rsidR="00E20BA2" w:rsidRDefault="00E20BA2" w:rsidP="00C359A7">
            <w:pPr>
              <w:widowControl w:val="0"/>
              <w:jc w:val="center"/>
              <w:rPr>
                <w:b/>
              </w:rPr>
            </w:pPr>
            <w:r>
              <w:rPr>
                <w:b/>
              </w:rPr>
              <w:t>Financial</w:t>
            </w:r>
          </w:p>
        </w:tc>
        <w:tc>
          <w:tcPr>
            <w:tcW w:w="2655"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730F78CF" w14:textId="77777777" w:rsidR="00E20BA2" w:rsidRDefault="00E20BA2" w:rsidP="00C359A7">
            <w:pPr>
              <w:widowControl w:val="0"/>
            </w:pPr>
            <w:r>
              <w:t xml:space="preserve">Low financial impact, </w:t>
            </w:r>
          </w:p>
          <w:p w14:paraId="339A95E9" w14:textId="77777777" w:rsidR="00E20BA2" w:rsidRDefault="00E20BA2" w:rsidP="00C359A7">
            <w:pPr>
              <w:widowControl w:val="0"/>
            </w:pPr>
            <w:r>
              <w:t>costing the company $0-$16,000</w:t>
            </w:r>
          </w:p>
        </w:tc>
        <w:tc>
          <w:tcPr>
            <w:tcW w:w="25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4C75D719" w14:textId="77777777" w:rsidR="00E20BA2" w:rsidRDefault="00E20BA2" w:rsidP="00C359A7">
            <w:pPr>
              <w:widowControl w:val="0"/>
            </w:pPr>
            <w:r>
              <w:t xml:space="preserve">Medium financial impact, </w:t>
            </w:r>
          </w:p>
          <w:p w14:paraId="5FC9B08C" w14:textId="77777777" w:rsidR="00E20BA2" w:rsidRDefault="00E20BA2" w:rsidP="00C359A7">
            <w:pPr>
              <w:widowControl w:val="0"/>
            </w:pPr>
            <w:r>
              <w:t>costing the company $16,000-$29,000</w:t>
            </w: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5786DC3A" w14:textId="77777777" w:rsidR="00E20BA2" w:rsidRDefault="00E20BA2" w:rsidP="00C359A7">
            <w:pPr>
              <w:widowControl w:val="0"/>
            </w:pPr>
            <w:r>
              <w:t xml:space="preserve">High financial impact, </w:t>
            </w:r>
          </w:p>
          <w:p w14:paraId="6BBB7017" w14:textId="77777777" w:rsidR="00E20BA2" w:rsidRDefault="00E20BA2" w:rsidP="00C359A7">
            <w:pPr>
              <w:widowControl w:val="0"/>
            </w:pPr>
            <w:r>
              <w:t>costing the company $30,000 or more</w:t>
            </w:r>
          </w:p>
        </w:tc>
      </w:tr>
      <w:tr w:rsidR="00E20BA2" w14:paraId="3B553583" w14:textId="77777777" w:rsidTr="00C359A7">
        <w:trPr>
          <w:trHeight w:val="450"/>
        </w:trPr>
        <w:tc>
          <w:tcPr>
            <w:tcW w:w="150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649E4AD7" w14:textId="77777777" w:rsidR="00E20BA2" w:rsidRDefault="00E20BA2" w:rsidP="00C359A7">
            <w:pPr>
              <w:widowControl w:val="0"/>
              <w:jc w:val="center"/>
              <w:rPr>
                <w:b/>
              </w:rPr>
            </w:pPr>
            <w:r>
              <w:rPr>
                <w:b/>
              </w:rPr>
              <w:t>Operational</w:t>
            </w:r>
          </w:p>
        </w:tc>
        <w:tc>
          <w:tcPr>
            <w:tcW w:w="2655"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27A9F392" w14:textId="77777777" w:rsidR="00E20BA2" w:rsidRDefault="00E20BA2" w:rsidP="00C359A7">
            <w:pPr>
              <w:widowControl w:val="0"/>
            </w:pPr>
            <w:r>
              <w:t>Low impact to project operations, causing delays of a few days to a few weeks</w:t>
            </w:r>
          </w:p>
        </w:tc>
        <w:tc>
          <w:tcPr>
            <w:tcW w:w="25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3DF1FD3C" w14:textId="77777777" w:rsidR="00E20BA2" w:rsidRDefault="00E20BA2" w:rsidP="00C359A7">
            <w:pPr>
              <w:widowControl w:val="0"/>
            </w:pPr>
            <w:r>
              <w:t xml:space="preserve">Medium impact to project operations, </w:t>
            </w:r>
          </w:p>
          <w:p w14:paraId="078CAE6F" w14:textId="77777777" w:rsidR="00E20BA2" w:rsidRDefault="00E20BA2" w:rsidP="00C359A7">
            <w:pPr>
              <w:widowControl w:val="0"/>
            </w:pPr>
            <w:r>
              <w:t>with potential to delay project by a month or more</w:t>
            </w: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3B0C7E50" w14:textId="77777777" w:rsidR="00E20BA2" w:rsidRDefault="00E20BA2" w:rsidP="00C359A7">
            <w:pPr>
              <w:widowControl w:val="0"/>
            </w:pPr>
            <w:r>
              <w:t xml:space="preserve">High impact to project operations, </w:t>
            </w:r>
          </w:p>
          <w:p w14:paraId="6956A06C" w14:textId="77777777" w:rsidR="00E20BA2" w:rsidRDefault="00E20BA2" w:rsidP="00C359A7">
            <w:pPr>
              <w:widowControl w:val="0"/>
            </w:pPr>
            <w:r>
              <w:t>with potential to cause project failure</w:t>
            </w:r>
          </w:p>
        </w:tc>
      </w:tr>
      <w:tr w:rsidR="00E20BA2" w14:paraId="05965211" w14:textId="77777777" w:rsidTr="00C359A7">
        <w:trPr>
          <w:trHeight w:val="855"/>
        </w:trPr>
        <w:tc>
          <w:tcPr>
            <w:tcW w:w="1500" w:type="dxa"/>
            <w:tcBorders>
              <w:top w:val="single" w:sz="7" w:space="0" w:color="D9D9D9"/>
              <w:left w:val="single" w:sz="7" w:space="0" w:color="D9D9D9"/>
              <w:bottom w:val="single" w:sz="7" w:space="0" w:color="D9D9D9"/>
              <w:right w:val="single" w:sz="8" w:space="0" w:color="D9D9D9"/>
            </w:tcBorders>
            <w:tcMar>
              <w:top w:w="40" w:type="dxa"/>
              <w:left w:w="40" w:type="dxa"/>
              <w:bottom w:w="40" w:type="dxa"/>
              <w:right w:w="40" w:type="dxa"/>
            </w:tcMar>
            <w:vAlign w:val="bottom"/>
          </w:tcPr>
          <w:p w14:paraId="4EF2BA1B" w14:textId="77777777" w:rsidR="00E20BA2" w:rsidRDefault="00E20BA2" w:rsidP="00C359A7">
            <w:pPr>
              <w:widowControl w:val="0"/>
              <w:jc w:val="center"/>
              <w:rPr>
                <w:b/>
              </w:rPr>
            </w:pPr>
            <w:r>
              <w:rPr>
                <w:b/>
              </w:rPr>
              <w:t>People</w:t>
            </w:r>
          </w:p>
        </w:tc>
        <w:tc>
          <w:tcPr>
            <w:tcW w:w="2655"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50DA7DA4" w14:textId="77777777" w:rsidR="00E20BA2" w:rsidRDefault="00E20BA2" w:rsidP="00C359A7">
            <w:pPr>
              <w:rPr>
                <w:sz w:val="26"/>
                <w:szCs w:val="26"/>
              </w:rPr>
            </w:pPr>
            <w:r>
              <w:t>Low impact to employee attrition, with 5%+ of employees quitting</w:t>
            </w:r>
          </w:p>
        </w:tc>
        <w:tc>
          <w:tcPr>
            <w:tcW w:w="2580"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6912E2A1" w14:textId="77777777" w:rsidR="00E20BA2" w:rsidRDefault="00E20BA2" w:rsidP="00C359A7">
            <w:pPr>
              <w:rPr>
                <w:sz w:val="26"/>
                <w:szCs w:val="26"/>
              </w:rPr>
            </w:pPr>
            <w:r>
              <w:t>Medium impact to employee attrition, with 25%+ of employees quitting</w:t>
            </w:r>
          </w:p>
        </w:tc>
        <w:tc>
          <w:tcPr>
            <w:tcW w:w="2880"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148D2377" w14:textId="77777777" w:rsidR="00E20BA2" w:rsidRDefault="00E20BA2" w:rsidP="00C359A7">
            <w:pPr>
              <w:rPr>
                <w:sz w:val="26"/>
                <w:szCs w:val="26"/>
              </w:rPr>
            </w:pPr>
            <w:r>
              <w:t>High impact to employee attrition, with 50%+ employees quitting</w:t>
            </w:r>
          </w:p>
        </w:tc>
      </w:tr>
    </w:tbl>
    <w:p w14:paraId="3C84BCA7" w14:textId="77777777" w:rsidR="00066D28" w:rsidRDefault="00066D28"/>
    <w:p w14:paraId="4B4621B8" w14:textId="77777777" w:rsidR="00066D28" w:rsidRDefault="00066D28"/>
    <w:p w14:paraId="5C8866FC" w14:textId="77777777" w:rsidR="00066D28" w:rsidRDefault="00066D28"/>
    <w:p w14:paraId="77E3B4E6" w14:textId="77777777" w:rsidR="00066D28" w:rsidRDefault="00981EE1">
      <w:pPr>
        <w:rPr>
          <w:b/>
        </w:rPr>
      </w:pPr>
      <w:r>
        <w:rPr>
          <w:b/>
        </w:rPr>
        <w:t>Probability and Impact Matrix:</w:t>
      </w:r>
    </w:p>
    <w:p w14:paraId="759FD636" w14:textId="77777777" w:rsidR="00066D28" w:rsidRDefault="00066D28"/>
    <w:tbl>
      <w:tblPr>
        <w:tblStyle w:val="a4"/>
        <w:tblW w:w="9600" w:type="dxa"/>
        <w:tblBorders>
          <w:top w:val="nil"/>
          <w:left w:val="nil"/>
          <w:bottom w:val="nil"/>
          <w:right w:val="nil"/>
          <w:insideH w:val="nil"/>
          <w:insideV w:val="nil"/>
        </w:tblBorders>
        <w:tblLayout w:type="fixed"/>
        <w:tblLook w:val="0600" w:firstRow="0" w:lastRow="0" w:firstColumn="0" w:lastColumn="0" w:noHBand="1" w:noVBand="1"/>
      </w:tblPr>
      <w:tblGrid>
        <w:gridCol w:w="1245"/>
        <w:gridCol w:w="945"/>
        <w:gridCol w:w="2310"/>
        <w:gridCol w:w="2730"/>
        <w:gridCol w:w="2370"/>
      </w:tblGrid>
      <w:tr w:rsidR="00066D28" w14:paraId="14FC963C" w14:textId="77777777">
        <w:trPr>
          <w:trHeight w:val="315"/>
        </w:trPr>
        <w:tc>
          <w:tcPr>
            <w:tcW w:w="9600" w:type="dxa"/>
            <w:gridSpan w:val="5"/>
            <w:tcBorders>
              <w:top w:val="single" w:sz="7" w:space="0" w:color="D9D9D9"/>
              <w:left w:val="single" w:sz="7" w:space="0" w:color="D9D9D9"/>
              <w:bottom w:val="single" w:sz="7" w:space="0" w:color="D9D9D9"/>
              <w:right w:val="single" w:sz="7" w:space="0" w:color="D9D9D9"/>
            </w:tcBorders>
            <w:shd w:val="clear" w:color="auto" w:fill="34A853"/>
            <w:tcMar>
              <w:top w:w="40" w:type="dxa"/>
              <w:left w:w="40" w:type="dxa"/>
              <w:bottom w:w="40" w:type="dxa"/>
              <w:right w:w="40" w:type="dxa"/>
            </w:tcMar>
            <w:vAlign w:val="center"/>
          </w:tcPr>
          <w:p w14:paraId="0FE9BCCC" w14:textId="77777777" w:rsidR="00066D28" w:rsidRDefault="00981EE1">
            <w:pPr>
              <w:widowControl w:val="0"/>
              <w:jc w:val="center"/>
              <w:rPr>
                <w:b/>
                <w:color w:val="FFFFFF"/>
              </w:rPr>
            </w:pPr>
            <w:r>
              <w:rPr>
                <w:b/>
                <w:color w:val="FFFFFF"/>
              </w:rPr>
              <w:t>Inherent Risk</w:t>
            </w:r>
          </w:p>
        </w:tc>
      </w:tr>
      <w:tr w:rsidR="00066D28" w14:paraId="63F6B019" w14:textId="77777777">
        <w:trPr>
          <w:trHeight w:val="315"/>
        </w:trPr>
        <w:tc>
          <w:tcPr>
            <w:tcW w:w="2190" w:type="dxa"/>
            <w:gridSpan w:val="2"/>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91C3126" w14:textId="77777777" w:rsidR="00066D28" w:rsidRDefault="00066D28">
            <w:pPr>
              <w:widowControl w:val="0"/>
            </w:pPr>
          </w:p>
        </w:tc>
        <w:tc>
          <w:tcPr>
            <w:tcW w:w="7410" w:type="dxa"/>
            <w:gridSpan w:val="3"/>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09963EDF" w14:textId="77777777" w:rsidR="00066D28" w:rsidRDefault="00981EE1">
            <w:pPr>
              <w:widowControl w:val="0"/>
              <w:jc w:val="center"/>
              <w:rPr>
                <w:b/>
              </w:rPr>
            </w:pPr>
            <w:r>
              <w:rPr>
                <w:b/>
              </w:rPr>
              <w:t>Impact</w:t>
            </w:r>
          </w:p>
        </w:tc>
      </w:tr>
      <w:tr w:rsidR="00066D28" w14:paraId="695E8B39" w14:textId="77777777">
        <w:trPr>
          <w:trHeight w:val="315"/>
        </w:trPr>
        <w:tc>
          <w:tcPr>
            <w:tcW w:w="2190" w:type="dxa"/>
            <w:gridSpan w:val="2"/>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9CEAD0A" w14:textId="77777777" w:rsidR="00066D28" w:rsidRDefault="00066D28">
            <w:pPr>
              <w:widowControl w:val="0"/>
              <w:pBdr>
                <w:top w:val="nil"/>
                <w:left w:val="nil"/>
                <w:bottom w:val="nil"/>
                <w:right w:val="nil"/>
                <w:between w:val="nil"/>
              </w:pBdr>
              <w:rPr>
                <w:b/>
              </w:rPr>
            </w:pPr>
          </w:p>
        </w:tc>
        <w:tc>
          <w:tcPr>
            <w:tcW w:w="23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8D11912" w14:textId="77777777" w:rsidR="00066D28" w:rsidRDefault="00981EE1">
            <w:pPr>
              <w:widowControl w:val="0"/>
              <w:jc w:val="center"/>
              <w:rPr>
                <w:b/>
              </w:rPr>
            </w:pPr>
            <w:r>
              <w:rPr>
                <w:b/>
              </w:rPr>
              <w:t>Low</w:t>
            </w:r>
          </w:p>
        </w:tc>
        <w:tc>
          <w:tcPr>
            <w:tcW w:w="273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68BBA978" w14:textId="77777777" w:rsidR="00066D28" w:rsidRDefault="00981EE1">
            <w:pPr>
              <w:widowControl w:val="0"/>
              <w:jc w:val="center"/>
              <w:rPr>
                <w:b/>
              </w:rPr>
            </w:pPr>
            <w:r>
              <w:rPr>
                <w:b/>
              </w:rPr>
              <w:t>Medium</w:t>
            </w:r>
          </w:p>
        </w:tc>
        <w:tc>
          <w:tcPr>
            <w:tcW w:w="237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26149F2" w14:textId="77777777" w:rsidR="00066D28" w:rsidRDefault="00981EE1">
            <w:pPr>
              <w:widowControl w:val="0"/>
              <w:jc w:val="center"/>
              <w:rPr>
                <w:b/>
              </w:rPr>
            </w:pPr>
            <w:r>
              <w:rPr>
                <w:b/>
              </w:rPr>
              <w:t>High</w:t>
            </w:r>
          </w:p>
        </w:tc>
      </w:tr>
      <w:tr w:rsidR="00066D28" w14:paraId="369FB306" w14:textId="77777777">
        <w:trPr>
          <w:trHeight w:val="315"/>
        </w:trPr>
        <w:tc>
          <w:tcPr>
            <w:tcW w:w="1245" w:type="dxa"/>
            <w:vMerge w:val="restart"/>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6B100065" w14:textId="77777777" w:rsidR="00066D28" w:rsidRDefault="00981EE1">
            <w:pPr>
              <w:widowControl w:val="0"/>
              <w:rPr>
                <w:b/>
              </w:rPr>
            </w:pPr>
            <w:r>
              <w:rPr>
                <w:b/>
              </w:rPr>
              <w:t>Probability</w:t>
            </w: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FEC08BE" w14:textId="77777777" w:rsidR="00066D28" w:rsidRDefault="00981EE1">
            <w:pPr>
              <w:widowControl w:val="0"/>
              <w:jc w:val="right"/>
              <w:rPr>
                <w:b/>
              </w:rPr>
            </w:pPr>
            <w:r>
              <w:rPr>
                <w:b/>
              </w:rPr>
              <w:t>High</w:t>
            </w:r>
          </w:p>
        </w:tc>
        <w:tc>
          <w:tcPr>
            <w:tcW w:w="231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7D184A25" w14:textId="77777777" w:rsidR="00066D28" w:rsidRDefault="00981EE1">
            <w:pPr>
              <w:widowControl w:val="0"/>
              <w:jc w:val="center"/>
            </w:pPr>
            <w:r>
              <w:t>Medium</w:t>
            </w:r>
          </w:p>
        </w:tc>
        <w:tc>
          <w:tcPr>
            <w:tcW w:w="273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27E16794" w14:textId="77777777" w:rsidR="00066D28" w:rsidRDefault="00981EE1">
            <w:pPr>
              <w:widowControl w:val="0"/>
              <w:jc w:val="center"/>
            </w:pPr>
            <w:r>
              <w:t>High</w:t>
            </w:r>
          </w:p>
        </w:tc>
        <w:tc>
          <w:tcPr>
            <w:tcW w:w="237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0D4F4F3E" w14:textId="77777777" w:rsidR="00066D28" w:rsidRDefault="00981EE1">
            <w:pPr>
              <w:widowControl w:val="0"/>
              <w:jc w:val="center"/>
            </w:pPr>
            <w:r>
              <w:t xml:space="preserve">High </w:t>
            </w:r>
          </w:p>
        </w:tc>
      </w:tr>
      <w:tr w:rsidR="00066D28" w14:paraId="316B956B" w14:textId="77777777">
        <w:trPr>
          <w:trHeight w:val="315"/>
        </w:trPr>
        <w:tc>
          <w:tcPr>
            <w:tcW w:w="1245"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27A3BB2F" w14:textId="77777777" w:rsidR="00066D28" w:rsidRDefault="00066D28">
            <w:pPr>
              <w:widowControl w:val="0"/>
              <w:pBdr>
                <w:top w:val="nil"/>
                <w:left w:val="nil"/>
                <w:bottom w:val="nil"/>
                <w:right w:val="nil"/>
                <w:between w:val="nil"/>
              </w:pBdr>
            </w:pP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F50B0EC" w14:textId="77777777" w:rsidR="00066D28" w:rsidRDefault="00981EE1">
            <w:pPr>
              <w:widowControl w:val="0"/>
              <w:jc w:val="right"/>
              <w:rPr>
                <w:b/>
              </w:rPr>
            </w:pPr>
            <w:r>
              <w:rPr>
                <w:b/>
              </w:rPr>
              <w:t>Medium</w:t>
            </w:r>
          </w:p>
        </w:tc>
        <w:tc>
          <w:tcPr>
            <w:tcW w:w="231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65A02613" w14:textId="77777777" w:rsidR="00066D28" w:rsidRDefault="00981EE1">
            <w:pPr>
              <w:widowControl w:val="0"/>
              <w:jc w:val="center"/>
            </w:pPr>
            <w:r>
              <w:t>Low</w:t>
            </w:r>
          </w:p>
        </w:tc>
        <w:tc>
          <w:tcPr>
            <w:tcW w:w="273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4BE186A9" w14:textId="77777777" w:rsidR="00066D28" w:rsidRDefault="00981EE1">
            <w:pPr>
              <w:widowControl w:val="0"/>
              <w:jc w:val="center"/>
            </w:pPr>
            <w:r>
              <w:t>Medium</w:t>
            </w:r>
          </w:p>
        </w:tc>
        <w:tc>
          <w:tcPr>
            <w:tcW w:w="237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25F7E07B" w14:textId="77777777" w:rsidR="00066D28" w:rsidRDefault="00981EE1">
            <w:pPr>
              <w:widowControl w:val="0"/>
              <w:jc w:val="center"/>
            </w:pPr>
            <w:r>
              <w:t>High</w:t>
            </w:r>
          </w:p>
        </w:tc>
      </w:tr>
      <w:tr w:rsidR="00066D28" w14:paraId="3435F5F2" w14:textId="77777777">
        <w:trPr>
          <w:trHeight w:val="315"/>
        </w:trPr>
        <w:tc>
          <w:tcPr>
            <w:tcW w:w="1245"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074FEF55" w14:textId="77777777" w:rsidR="00066D28" w:rsidRDefault="00066D28">
            <w:pPr>
              <w:widowControl w:val="0"/>
              <w:pBdr>
                <w:top w:val="nil"/>
                <w:left w:val="nil"/>
                <w:bottom w:val="nil"/>
                <w:right w:val="nil"/>
                <w:between w:val="nil"/>
              </w:pBdr>
            </w:pP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209D51F8" w14:textId="77777777" w:rsidR="00066D28" w:rsidRDefault="00981EE1">
            <w:pPr>
              <w:widowControl w:val="0"/>
              <w:jc w:val="right"/>
              <w:rPr>
                <w:b/>
              </w:rPr>
            </w:pPr>
            <w:r>
              <w:rPr>
                <w:b/>
              </w:rPr>
              <w:t>Low</w:t>
            </w:r>
          </w:p>
        </w:tc>
        <w:tc>
          <w:tcPr>
            <w:tcW w:w="231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4E5E5283" w14:textId="77777777" w:rsidR="00066D28" w:rsidRDefault="00981EE1">
            <w:pPr>
              <w:widowControl w:val="0"/>
              <w:jc w:val="center"/>
            </w:pPr>
            <w:r>
              <w:t>Low</w:t>
            </w:r>
          </w:p>
        </w:tc>
        <w:tc>
          <w:tcPr>
            <w:tcW w:w="273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13904701" w14:textId="77777777" w:rsidR="00066D28" w:rsidRDefault="00981EE1">
            <w:pPr>
              <w:widowControl w:val="0"/>
              <w:jc w:val="center"/>
            </w:pPr>
            <w:r>
              <w:t>Low</w:t>
            </w:r>
          </w:p>
        </w:tc>
        <w:tc>
          <w:tcPr>
            <w:tcW w:w="237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2100BBEB" w14:textId="77777777" w:rsidR="00066D28" w:rsidRDefault="00981EE1">
            <w:pPr>
              <w:widowControl w:val="0"/>
              <w:jc w:val="center"/>
            </w:pPr>
            <w:r>
              <w:t>Medium</w:t>
            </w:r>
          </w:p>
        </w:tc>
      </w:tr>
    </w:tbl>
    <w:p w14:paraId="15291B02" w14:textId="77777777" w:rsidR="00066D28" w:rsidRDefault="00066D28"/>
    <w:p w14:paraId="173E1B99" w14:textId="06C29284" w:rsidR="00542A91" w:rsidRPr="00542A91" w:rsidRDefault="00542A91">
      <w:pPr>
        <w:rPr>
          <w:b/>
          <w:bCs/>
          <w:sz w:val="24"/>
          <w:szCs w:val="24"/>
        </w:rPr>
      </w:pPr>
      <w:proofErr w:type="spellStart"/>
      <w:r w:rsidRPr="00542A91">
        <w:rPr>
          <w:b/>
          <w:bCs/>
          <w:sz w:val="24"/>
          <w:szCs w:val="24"/>
        </w:rPr>
        <w:t>Conclution</w:t>
      </w:r>
      <w:proofErr w:type="spellEnd"/>
      <w:r w:rsidRPr="00542A91">
        <w:rPr>
          <w:b/>
          <w:bCs/>
          <w:sz w:val="24"/>
          <w:szCs w:val="24"/>
        </w:rPr>
        <w:t xml:space="preserve"> </w:t>
      </w:r>
    </w:p>
    <w:p w14:paraId="7FC0FF4F" w14:textId="77777777" w:rsidR="00542A91" w:rsidRDefault="00542A91">
      <w:pPr>
        <w:rPr>
          <w:sz w:val="20"/>
          <w:szCs w:val="20"/>
        </w:rPr>
      </w:pPr>
    </w:p>
    <w:p w14:paraId="64FDEA40" w14:textId="44B5711B" w:rsidR="00066D28" w:rsidRPr="00542A91" w:rsidRDefault="00542A91">
      <w:pPr>
        <w:rPr>
          <w:sz w:val="20"/>
          <w:szCs w:val="20"/>
        </w:rPr>
      </w:pPr>
      <w:r w:rsidRPr="00542A91">
        <w:rPr>
          <w:sz w:val="20"/>
          <w:szCs w:val="20"/>
        </w:rPr>
        <w:t>The launch of Plant Pals operations presents several risks that must be carefully managed to ensure the success of the project. Budget risks, such as increased cost of delivery trucks and unexpected vendor fees, could lead to significant budget slippage, which would negatively impact the financial viability of the project. On the other hand, risks associated with the training schedule, including the possible absence of the training manager and difficulty in hiring the right personnel on time, can result in critical delays that affect the project launch. Implementing an effective mitigation plan is essential to address these risks. Strategies should include continually evaluating vendors, creating a contingency plan for training, and being able to adjust the budget in response to unforeseen changes. In addition, it is crucial to foster open communication within the team to identify and resolve issues quickly as they arise. Through proactive risk management, Plant Pals can minimize the impact of these challenges and ensure a successful launch, enabling the organization to meet its objectives and maximize ROI. Constant monitoring and flexibility in the execution of the plan will be key to navigating the uncertainties inherent in the project.</w:t>
      </w:r>
    </w:p>
    <w:sectPr w:rsidR="00066D28" w:rsidRPr="00542A91">
      <w:headerReference w:type="default" r:id="rId7"/>
      <w:pgSz w:w="12240" w:h="15840"/>
      <w:pgMar w:top="850"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DB612" w14:textId="77777777" w:rsidR="000F7399" w:rsidRDefault="000F7399">
      <w:pPr>
        <w:spacing w:line="240" w:lineRule="auto"/>
      </w:pPr>
      <w:r>
        <w:separator/>
      </w:r>
    </w:p>
  </w:endnote>
  <w:endnote w:type="continuationSeparator" w:id="0">
    <w:p w14:paraId="65EEC5C6" w14:textId="77777777" w:rsidR="000F7399" w:rsidRDefault="000F73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C7EEA" w14:textId="77777777" w:rsidR="000F7399" w:rsidRDefault="000F7399">
      <w:pPr>
        <w:spacing w:line="240" w:lineRule="auto"/>
      </w:pPr>
      <w:r>
        <w:separator/>
      </w:r>
    </w:p>
  </w:footnote>
  <w:footnote w:type="continuationSeparator" w:id="0">
    <w:p w14:paraId="2B469946" w14:textId="77777777" w:rsidR="000F7399" w:rsidRDefault="000F73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08EBD" w14:textId="77777777" w:rsidR="00066D28" w:rsidRDefault="00066D2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D28"/>
    <w:rsid w:val="00066D28"/>
    <w:rsid w:val="000F7399"/>
    <w:rsid w:val="001042EA"/>
    <w:rsid w:val="00200E2E"/>
    <w:rsid w:val="00542A91"/>
    <w:rsid w:val="00981EE1"/>
    <w:rsid w:val="00AA23EB"/>
    <w:rsid w:val="00B905C2"/>
    <w:rsid w:val="00E20BA2"/>
    <w:rsid w:val="00ED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823"/>
  <w15:docId w15:val="{A027B999-BF32-4ADB-8E54-A342C96A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666</Words>
  <Characters>3665</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Google, Inc.</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JOSE DE JESUS ESCAMILLA LOSOYO</cp:lastModifiedBy>
  <cp:revision>4</cp:revision>
  <dcterms:created xsi:type="dcterms:W3CDTF">2021-05-03T19:16:00Z</dcterms:created>
  <dcterms:modified xsi:type="dcterms:W3CDTF">2024-10-04T19:29:00Z</dcterms:modified>
</cp:coreProperties>
</file>