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Implementación de tabletas de menú en Sauce &amp; 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proyecto de implementación de tabletas de menú de sobremesa en Sauce &amp; Spoon tiene como objetivo mejorar la experiencia del cliente y aumentar las ventas en los locales de la empresa. Se espera que las tabletas fomenten la venta de aperitivos y tragos de autor, con un objetivo promedio de aumento del 15% en las ventas de aperitivos en ambos locales. Este proyecto también busca disminuir el tiempo de rotación de mesas y, como resultado, el tiempo de espera de los clientes.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"Aumentar el monto promedio de la cuenta de USD 65 a USD 75 en un plazo de 6 meses, a través de promociones de ventas y capacitaciones al personal para mejorar la experiencia del cliente".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"Incrementar la venta de aperitivos y tragos de autor en un 25% en un plazo de 4 meses mediante la promoción a través de las tabletas y la capacitación del personal en sugerencias de ventas".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"Aumentar las ventas de aperitivos en un 10% en la zona norte, un 20% en el microcentro y un 15% en promedio general durante los próximos 4 meses, utilizando promociones en tabletas y capacitaciones al personal".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"Reducir el tiempo de rotación de mesas en 30 minutos en los próximos 3 meses, mediante la optimización de procesos de servicio y la implementación de tabletas para pedidos".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"Evaluar la necesidad de recursos adicionales para la cocina en un plazo de 2 meses después de la implementación de las tabletas, en función del incremento en la demanda observado en las ventas".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"Monitorear la nómina mensual y tomar decisiones sobre la contratación de personal adicional en un plazo de 3 meses tras la implementación de las tabletas, según el aumento en la demanda".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"Completar la implementación de las tabletas de menú de sobremesa en todos los locales en un plazo de 3 meses, asegurando que al menos el 90% del personal esté capacitado en su uso".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"Presentar un informe detallado sobre el aumento del monto promedio de la cuenta, con datos cuantitativos, en un plazo de 1 mes después de la implementación de las tabletas".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"Entregar un análisis exhaustivo de las ventas de aperitivos y tragos de autor en un plazo de 2 meses tras la implementación de las tabletas, incluyendo comparaciones con periodos anteriores y recomendaciones para mejorar las ventas".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"Proporcionar un informe sobre el tiempo de rotación de mesas y su relación con el servicio en un plazo de 3 meses, incluyendo análisis de datos y propuestas de mejora basadas en la experiencia del cliente".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"Desarrollar y presentar un plan de reevaluación de la nómina y la posible contratación de personal adicional en cocina en un plazo de 2 meses después de la implementación de las tabletas, basado en el análisis de la demanda y el rendimiento del personal".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proyecto "Terrific Tablets" tiene como objetivo implementar tabletas de menú de sobremesa en todas las ubicaciones de la empresa para mejorar la experiencia del cliente y optimizar las operaciones. Las siguientes actividades están incluidas en el alcance del proyecto: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Implementación de Hardware y Software: Despliegue de tabletas en todas las sucursales, incluyendo configuración y ajustes necesarios para su uso.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Capacitación del Personal: Desarrollo y entrega de materiales de capacitación para garantizar que todos los empleados estén capacitados en el uso de las tabletas.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Actualización del Sitio Web y Menú: Rediseño del sitio web y del menú digital para reflejar los cambios realizados en la oferta de productos.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Soporte Técnico y Mantenimiento: Provisión de soporte técnico durante la implementación y mantenimiento de las tabletas hasta fin de año.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siguiente aspecto se considera fuera del alcance del proyecto: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Revisión de Políticas de Devolución de Platos: La discusión y posible modificación de las políticas relacionadas con la devolución de platos debido a errores en los pedidos se manejarán por separado y no forman parte del alcance del proyecto "Terrific Tablets".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Mejora de la Experiencia del Cliente: Las tabletas permitirán a los clientes realizar pedidos de manera más eficiente y acceder a un menú interactivo, mejorando su experiencia general.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Reducción de Desperdicios: La implementación de tabletas contribuirá a una reducción en los desperdicios al permitir un manejo más preciso de los pedidos.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Eficiencia Operativa: La automatización de pedidos y el acceso a información en tiempo real permitirán a los empleados de cocina optimizar su rendimiento.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Satisfacción del Personal: La implementación de tabletas se espera que reduzca la rotación del personal en la cocina, contribuyendo a un ambiente de trabajo más satisfactorio.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4"/>
                      <w:szCs w:val="24"/>
                      <w:rtl w:val="0"/>
                    </w:rPr>
                    <w:t xml:space="preserve">Inversiones del proyecto (costos)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4"/>
                      <w:szCs w:val="24"/>
                      <w:rtl w:val="0"/>
                    </w:rPr>
                    <w:t xml:space="preserve">Costo estimado (USD)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Materiales y tarifas para la capacitación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$10,000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Implementación de hardware y software en los locales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$30,000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Mantenimiento (tarifas de TI hasta fin de año)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$5,000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Tarifa para actualizar el sitio web y diseñar menú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$5,000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Otras tarifas de personalización</w:t>
                    <w:tab/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34343"/>
                      <w:sz w:val="24"/>
                      <w:szCs w:val="24"/>
                      <w:rtl w:val="0"/>
                    </w:rPr>
                    <w:t xml:space="preserve">$550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color w:val="434343"/>
                      <w:sz w:val="24"/>
                      <w:szCs w:val="24"/>
                      <w:rtl w:val="0"/>
                    </w:rPr>
                    <w:t xml:space="preserve">Costo total estimado</w:t>
                    <w:tab/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color w:val="434343"/>
                      <w:sz w:val="24"/>
                      <w:szCs w:val="24"/>
                      <w:rtl w:val="0"/>
                    </w:rPr>
                    <w:t xml:space="preserve">$50,550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Acta de Reunión: Resumen de la reunión donde se discutieron los objetivos del proyecto, cambios en las políticas, y el alcance.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Documentación de Capacitación: Materiales que se utilizarán para la capacitación del personal en el uso de las tabletas.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Detalles de Implementación: Plan de implementación que detalla las fases de la instalación de las tabletas en cada ubicación.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Informe de Seguimiento: Plan para evaluar el progreso del proyecto y medir los resultados en términos de satisfacción del cliente y reducción de desperdicios.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Presupuesto Detallado: Desglose completo de los costos estimados asociados al proyecto "Terrific Tablets".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