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Implementación de tabletas de menú en Sauce &amp; Spoon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[24/10/2024]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 proyecto de implementación de tabletas de menú de sobremesa en Sauce &amp; Spoon tiene como objetivo mejorar la experiencia del cliente y aumentar las ventas en los locales de la empresa. Se espera que las tabletas fomenten la venta de aperitivos y tragos de autor, con un objetivo promedio de aumento del 15% en las ventas de aperitivos en ambos locales. Este proyecto también busca disminuir el tiempo de rotación de mesas y, como resultado, el tiempo de espera de los clientes.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Aumentar el monto promedio de la cuenta de USD 65 a USD 75.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Fomentar la venta de aperitivos y tragos de autor a través de las tabletas.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específico de aumento de ventas de aperitivos: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Zona norte: 10%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Microcentro: 20%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Promedio general: 15%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Reducir el tiempo de rotación de mesas en 30 minutos.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Eliminar el objetivo de reducir el tiempo de espera de los clientes debido a la dependencia de otros factores y su relación con el tiempo de rotación de mesas.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Evaluar la necesidad de recursos adicionales para la cocina en función del incremento en la demanda.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Controlar la nómina y considerar la contratación de personal adicional según la demanda que surja tras la implementación de las tabletas.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Implementación de las tabletas de menú de sobremesa en todos los locales.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Un informe sobre el aumento del monto promedio de la cuenta.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Un análisis de ventas de aperitivos y tragos de autor.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Un informe sobre el tiempo de rotación de mesas y su relación con el servicio.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Un plan para la reevaluación de la nómina y la posible contratación de personal adicional en cocina.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999999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Correspondencia y discusión entre Peta, Gilly y Alex sobre el objetivo de reducir el tiempo de espera.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Consideraciones sobre la nómina y la necesidad de personal adicional en función de la demanda.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Estrategia para gestionar recursos humanos según el impacto de las tabletas en el servicio.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