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FAEE" w14:textId="0F8C6EA5" w:rsidR="004743BE" w:rsidRPr="004743BE" w:rsidRDefault="004743BE" w:rsidP="004743BE">
      <w:pPr>
        <w:pStyle w:val="NormalWeb"/>
        <w:shd w:val="clear" w:color="auto" w:fill="FFFFFF"/>
        <w:spacing w:before="120" w:beforeAutospacing="0" w:after="0" w:afterAutospacing="0"/>
        <w:jc w:val="both"/>
        <w:rPr>
          <w:rFonts w:ascii="Calibri" w:hAnsi="Calibri" w:cs="Calibri"/>
          <w:b/>
          <w:bCs/>
          <w:sz w:val="22"/>
          <w:szCs w:val="22"/>
        </w:rPr>
      </w:pPr>
      <w:r w:rsidRPr="004743BE">
        <w:rPr>
          <w:rFonts w:ascii="Calibri" w:hAnsi="Calibri" w:cs="Calibri"/>
          <w:b/>
          <w:bCs/>
          <w:sz w:val="22"/>
          <w:szCs w:val="22"/>
        </w:rPr>
        <w:t>Situémonos.</w:t>
      </w:r>
    </w:p>
    <w:p w14:paraId="607CFFBB" w14:textId="167E2BE9" w:rsidR="004743BE" w:rsidRPr="004743BE" w:rsidRDefault="004743BE" w:rsidP="004743BE">
      <w:pPr>
        <w:pStyle w:val="NormalWeb"/>
        <w:shd w:val="clear" w:color="auto" w:fill="FFFFFF"/>
        <w:spacing w:before="120" w:beforeAutospacing="0" w:after="0" w:afterAutospacing="0"/>
        <w:jc w:val="both"/>
        <w:rPr>
          <w:rFonts w:ascii="Arial" w:hAnsi="Arial" w:cs="Arial"/>
          <w:sz w:val="21"/>
          <w:szCs w:val="21"/>
        </w:rPr>
      </w:pPr>
      <w:r w:rsidRPr="00717407">
        <w:rPr>
          <w:rFonts w:ascii="Calibri" w:hAnsi="Calibri" w:cs="Calibri"/>
          <w:sz w:val="22"/>
          <w:szCs w:val="22"/>
        </w:rPr>
        <w:t xml:space="preserve">En este mismo año de 1768 en que nuestro vecino se encuentra ocupado pleiteando para que no le tapien su ventana, Carlos III, que gobierna las Españas, encarga a su Ministro de Hacienda Pablo Abarca de Boleo, Conde de Aranda, la tarea de elaborar un censo que será conocido como el </w:t>
      </w:r>
      <w:r w:rsidRPr="00717407">
        <w:rPr>
          <w:rFonts w:ascii="Calibri" w:hAnsi="Calibri" w:cs="Calibri"/>
          <w:i/>
          <w:iCs/>
          <w:sz w:val="22"/>
          <w:szCs w:val="22"/>
        </w:rPr>
        <w:t>Censo de Aranda</w:t>
      </w:r>
      <w:r w:rsidRPr="00717407">
        <w:rPr>
          <w:rFonts w:ascii="Calibri" w:hAnsi="Calibri" w:cs="Calibri"/>
          <w:sz w:val="22"/>
          <w:szCs w:val="22"/>
        </w:rPr>
        <w:t xml:space="preserve"> y llevado a cabo entre 1768 y 1770. El de Aranda</w:t>
      </w:r>
      <w:r>
        <w:rPr>
          <w:rFonts w:ascii="Calibri" w:hAnsi="Calibri" w:cs="Calibri"/>
          <w:sz w:val="22"/>
          <w:szCs w:val="22"/>
        </w:rPr>
        <w:t>,</w:t>
      </w:r>
      <w:r w:rsidRPr="00717407">
        <w:rPr>
          <w:rFonts w:ascii="Calibri" w:hAnsi="Calibri" w:cs="Calibri"/>
          <w:sz w:val="22"/>
          <w:szCs w:val="22"/>
        </w:rPr>
        <w:t xml:space="preserve"> que también era presidente del Consejo de Castila, lo que lo convertía en la segunda autoridad de España después del Rey, </w:t>
      </w:r>
      <w:r>
        <w:rPr>
          <w:rFonts w:ascii="Calibri" w:hAnsi="Calibri" w:cs="Calibri"/>
          <w:sz w:val="22"/>
          <w:szCs w:val="22"/>
        </w:rPr>
        <w:t>m</w:t>
      </w:r>
      <w:r w:rsidRPr="00717407">
        <w:rPr>
          <w:rFonts w:ascii="Calibri" w:hAnsi="Calibri" w:cs="Calibri"/>
          <w:sz w:val="22"/>
          <w:szCs w:val="22"/>
        </w:rPr>
        <w:t>andó hacer dos censos a la vez</w:t>
      </w:r>
      <w:r>
        <w:rPr>
          <w:rFonts w:ascii="Calibri" w:hAnsi="Calibri" w:cs="Calibri"/>
          <w:sz w:val="22"/>
          <w:szCs w:val="22"/>
        </w:rPr>
        <w:t>,</w:t>
      </w:r>
      <w:r w:rsidRPr="00717407">
        <w:rPr>
          <w:rFonts w:ascii="Calibri" w:hAnsi="Calibri" w:cs="Calibri"/>
          <w:sz w:val="22"/>
          <w:szCs w:val="22"/>
        </w:rPr>
        <w:t xml:space="preserve"> </w:t>
      </w:r>
      <w:r>
        <w:rPr>
          <w:rFonts w:ascii="Calibri" w:hAnsi="Calibri" w:cs="Calibri"/>
          <w:sz w:val="22"/>
          <w:szCs w:val="22"/>
        </w:rPr>
        <w:t>u</w:t>
      </w:r>
      <w:r w:rsidRPr="00717407">
        <w:rPr>
          <w:rFonts w:ascii="Calibri" w:hAnsi="Calibri" w:cs="Calibri"/>
          <w:sz w:val="22"/>
          <w:szCs w:val="22"/>
        </w:rPr>
        <w:t xml:space="preserve">no de población y otro de </w:t>
      </w:r>
      <w:r>
        <w:rPr>
          <w:rFonts w:ascii="Calibri" w:hAnsi="Calibri" w:cs="Calibri"/>
          <w:sz w:val="22"/>
          <w:szCs w:val="22"/>
        </w:rPr>
        <w:t>c</w:t>
      </w:r>
      <w:r w:rsidRPr="00717407">
        <w:rPr>
          <w:rFonts w:ascii="Calibri" w:hAnsi="Calibri" w:cs="Calibri"/>
          <w:sz w:val="22"/>
          <w:szCs w:val="22"/>
        </w:rPr>
        <w:t>ofradías religiosas habidas en España. Fue encomendado a los </w:t>
      </w:r>
      <w:hyperlink r:id="rId4" w:tooltip="Obispo" w:history="1">
        <w:r w:rsidRPr="00717407">
          <w:rPr>
            <w:rStyle w:val="Hipervnculo"/>
            <w:rFonts w:ascii="Calibri" w:eastAsiaTheme="majorEastAsia" w:hAnsi="Calibri" w:cs="Calibri"/>
            <w:color w:val="auto"/>
            <w:sz w:val="22"/>
            <w:szCs w:val="22"/>
            <w:u w:val="none"/>
          </w:rPr>
          <w:t>obispos</w:t>
        </w:r>
      </w:hyperlink>
      <w:r w:rsidRPr="00717407">
        <w:rPr>
          <w:rFonts w:ascii="Calibri" w:hAnsi="Calibri" w:cs="Calibri"/>
          <w:sz w:val="22"/>
          <w:szCs w:val="22"/>
        </w:rPr>
        <w:t> que recibieron instrucciones para que, a través de los </w:t>
      </w:r>
      <w:hyperlink r:id="rId5" w:tooltip="Párroco" w:history="1">
        <w:r w:rsidRPr="00717407">
          <w:rPr>
            <w:rStyle w:val="Hipervnculo"/>
            <w:rFonts w:ascii="Calibri" w:eastAsiaTheme="majorEastAsia" w:hAnsi="Calibri" w:cs="Calibri"/>
            <w:color w:val="auto"/>
            <w:sz w:val="22"/>
            <w:szCs w:val="22"/>
            <w:u w:val="none"/>
          </w:rPr>
          <w:t>párrocos</w:t>
        </w:r>
      </w:hyperlink>
      <w:r w:rsidRPr="00717407">
        <w:rPr>
          <w:rFonts w:ascii="Calibri" w:hAnsi="Calibri" w:cs="Calibri"/>
          <w:sz w:val="22"/>
          <w:szCs w:val="22"/>
        </w:rPr>
        <w:t> de sus </w:t>
      </w:r>
      <w:hyperlink r:id="rId6" w:tooltip="Diócesis" w:history="1">
        <w:r w:rsidRPr="00717407">
          <w:rPr>
            <w:rStyle w:val="Hipervnculo"/>
            <w:rFonts w:ascii="Calibri" w:eastAsiaTheme="majorEastAsia" w:hAnsi="Calibri" w:cs="Calibri"/>
            <w:color w:val="auto"/>
            <w:sz w:val="22"/>
            <w:szCs w:val="22"/>
            <w:u w:val="none"/>
          </w:rPr>
          <w:t>diócesis</w:t>
        </w:r>
      </w:hyperlink>
      <w:r w:rsidRPr="00717407">
        <w:rPr>
          <w:rFonts w:ascii="Calibri" w:hAnsi="Calibri" w:cs="Calibri"/>
          <w:sz w:val="22"/>
          <w:szCs w:val="22"/>
        </w:rPr>
        <w:t>, se recogiesen los datos de las mismas en un </w:t>
      </w:r>
      <w:hyperlink r:id="rId7" w:tooltip="Formulario" w:history="1">
        <w:r w:rsidRPr="00717407">
          <w:rPr>
            <w:rStyle w:val="Hipervnculo"/>
            <w:rFonts w:ascii="Calibri" w:eastAsiaTheme="majorEastAsia" w:hAnsi="Calibri" w:cs="Calibri"/>
            <w:color w:val="auto"/>
            <w:sz w:val="22"/>
            <w:szCs w:val="22"/>
            <w:u w:val="none"/>
          </w:rPr>
          <w:t>formulario</w:t>
        </w:r>
      </w:hyperlink>
      <w:r>
        <w:rPr>
          <w:rFonts w:ascii="Calibri" w:hAnsi="Calibri" w:cs="Calibri"/>
          <w:sz w:val="22"/>
          <w:szCs w:val="22"/>
        </w:rPr>
        <w:t xml:space="preserve"> indicando</w:t>
      </w:r>
      <w:r>
        <w:rPr>
          <w:rFonts w:ascii="Arial" w:hAnsi="Arial" w:cs="Arial"/>
          <w:color w:val="202122"/>
          <w:sz w:val="21"/>
          <w:szCs w:val="21"/>
        </w:rPr>
        <w:t xml:space="preserve"> las circunstancias personales de todos los habitantes adscritos: edad (hasta 7, 16, 25, 40, 50 y mayores de 50 años), sexo y estado civil, aportando también información complementaria del número de "exentos" por su condición de </w:t>
      </w:r>
      <w:r w:rsidR="00B82DA2">
        <w:rPr>
          <w:rFonts w:ascii="Arial" w:hAnsi="Arial" w:cs="Arial"/>
          <w:color w:val="202122"/>
          <w:sz w:val="21"/>
          <w:szCs w:val="21"/>
        </w:rPr>
        <w:t>h</w:t>
      </w:r>
      <w:r>
        <w:rPr>
          <w:rFonts w:ascii="Arial" w:hAnsi="Arial" w:cs="Arial"/>
          <w:color w:val="202122"/>
          <w:sz w:val="21"/>
          <w:szCs w:val="21"/>
        </w:rPr>
        <w:t xml:space="preserve">idalguía, </w:t>
      </w:r>
      <w:r w:rsidR="00B82DA2">
        <w:rPr>
          <w:rFonts w:ascii="Arial" w:hAnsi="Arial" w:cs="Arial"/>
          <w:color w:val="202122"/>
          <w:sz w:val="21"/>
          <w:szCs w:val="21"/>
        </w:rPr>
        <w:t>r</w:t>
      </w:r>
      <w:r>
        <w:rPr>
          <w:rFonts w:ascii="Arial" w:hAnsi="Arial" w:cs="Arial"/>
          <w:color w:val="202122"/>
          <w:sz w:val="21"/>
          <w:szCs w:val="21"/>
        </w:rPr>
        <w:t xml:space="preserve">eal </w:t>
      </w:r>
      <w:r w:rsidR="00B82DA2">
        <w:rPr>
          <w:rFonts w:ascii="Arial" w:hAnsi="Arial" w:cs="Arial"/>
          <w:color w:val="202122"/>
          <w:sz w:val="21"/>
          <w:szCs w:val="21"/>
        </w:rPr>
        <w:t>s</w:t>
      </w:r>
      <w:r>
        <w:rPr>
          <w:rFonts w:ascii="Arial" w:hAnsi="Arial" w:cs="Arial"/>
          <w:color w:val="202122"/>
          <w:sz w:val="21"/>
          <w:szCs w:val="21"/>
        </w:rPr>
        <w:t xml:space="preserve">ervicio, </w:t>
      </w:r>
      <w:r w:rsidR="00B82DA2">
        <w:rPr>
          <w:rFonts w:ascii="Arial" w:hAnsi="Arial" w:cs="Arial"/>
          <w:color w:val="202122"/>
          <w:sz w:val="21"/>
          <w:szCs w:val="21"/>
        </w:rPr>
        <w:t>r</w:t>
      </w:r>
      <w:r>
        <w:rPr>
          <w:rFonts w:ascii="Arial" w:hAnsi="Arial" w:cs="Arial"/>
          <w:color w:val="202122"/>
          <w:sz w:val="21"/>
          <w:szCs w:val="21"/>
        </w:rPr>
        <w:t xml:space="preserve">eal </w:t>
      </w:r>
      <w:r w:rsidR="00B82DA2">
        <w:rPr>
          <w:rFonts w:ascii="Arial" w:hAnsi="Arial" w:cs="Arial"/>
          <w:color w:val="202122"/>
          <w:sz w:val="21"/>
          <w:szCs w:val="21"/>
        </w:rPr>
        <w:t>h</w:t>
      </w:r>
      <w:r>
        <w:rPr>
          <w:rFonts w:ascii="Arial" w:hAnsi="Arial" w:cs="Arial"/>
          <w:color w:val="202122"/>
          <w:sz w:val="21"/>
          <w:szCs w:val="21"/>
        </w:rPr>
        <w:t xml:space="preserve">acienda, </w:t>
      </w:r>
      <w:r w:rsidR="00B82DA2">
        <w:rPr>
          <w:rFonts w:ascii="Arial" w:hAnsi="Arial" w:cs="Arial"/>
          <w:color w:val="202122"/>
          <w:sz w:val="21"/>
          <w:szCs w:val="21"/>
        </w:rPr>
        <w:t>c</w:t>
      </w:r>
      <w:r>
        <w:rPr>
          <w:rFonts w:ascii="Arial" w:hAnsi="Arial" w:cs="Arial"/>
          <w:color w:val="202122"/>
          <w:sz w:val="21"/>
          <w:szCs w:val="21"/>
        </w:rPr>
        <w:t xml:space="preserve">ruzada e </w:t>
      </w:r>
      <w:r w:rsidR="00B82DA2">
        <w:rPr>
          <w:rFonts w:ascii="Arial" w:hAnsi="Arial" w:cs="Arial"/>
          <w:color w:val="202122"/>
          <w:sz w:val="21"/>
          <w:szCs w:val="21"/>
        </w:rPr>
        <w:t>i</w:t>
      </w:r>
      <w:r>
        <w:rPr>
          <w:rFonts w:ascii="Arial" w:hAnsi="Arial" w:cs="Arial"/>
          <w:color w:val="202122"/>
          <w:sz w:val="21"/>
          <w:szCs w:val="21"/>
        </w:rPr>
        <w:t>nquisición</w:t>
      </w:r>
      <w:r w:rsidR="00B82DA2">
        <w:rPr>
          <w:rFonts w:ascii="Arial" w:hAnsi="Arial" w:cs="Arial"/>
          <w:color w:val="202122"/>
          <w:sz w:val="21"/>
          <w:szCs w:val="21"/>
        </w:rPr>
        <w:t xml:space="preserve">, así como </w:t>
      </w:r>
      <w:r>
        <w:rPr>
          <w:rFonts w:ascii="Arial" w:hAnsi="Arial" w:cs="Arial"/>
          <w:color w:val="202122"/>
          <w:sz w:val="21"/>
          <w:szCs w:val="21"/>
        </w:rPr>
        <w:t xml:space="preserve">la enumeración de eclesiásticos y sirvientes de </w:t>
      </w:r>
      <w:r w:rsidR="00B82DA2">
        <w:rPr>
          <w:rFonts w:ascii="Arial" w:hAnsi="Arial" w:cs="Arial"/>
          <w:color w:val="202122"/>
          <w:sz w:val="21"/>
          <w:szCs w:val="21"/>
        </w:rPr>
        <w:t>la iglesia, h</w:t>
      </w:r>
      <w:r>
        <w:rPr>
          <w:rFonts w:ascii="Arial" w:hAnsi="Arial" w:cs="Arial"/>
          <w:color w:val="202122"/>
          <w:sz w:val="21"/>
          <w:szCs w:val="21"/>
        </w:rPr>
        <w:t>ospitales</w:t>
      </w:r>
      <w:r>
        <w:rPr>
          <w:rFonts w:ascii="Arial" w:hAnsi="Arial" w:cs="Arial"/>
          <w:color w:val="202122"/>
          <w:sz w:val="21"/>
          <w:szCs w:val="21"/>
        </w:rPr>
        <w:t xml:space="preserve"> y cofradías</w:t>
      </w:r>
      <w:r>
        <w:rPr>
          <w:rFonts w:ascii="Arial" w:hAnsi="Arial" w:cs="Arial"/>
          <w:color w:val="202122"/>
          <w:sz w:val="21"/>
          <w:szCs w:val="21"/>
        </w:rPr>
        <w:t xml:space="preserve">. Los resultados generales fueron estimados en 9,3 millones de habitantes. Así mismo los impuestos y cargas que estableció sobre las cofradías, una vez conocida su relación, tuvo el efecto de hacer desaparecer a munchas de ellas. Es considerado el primer censo, pues abarca todo el territorio nacional y, por primera vez, se cuentan personas y </w:t>
      </w:r>
      <w:r w:rsidRPr="004743BE">
        <w:rPr>
          <w:rFonts w:ascii="Arial" w:hAnsi="Arial" w:cs="Arial"/>
          <w:sz w:val="21"/>
          <w:szCs w:val="21"/>
        </w:rPr>
        <w:t>no vecinos</w:t>
      </w:r>
      <w:r>
        <w:rPr>
          <w:rFonts w:ascii="Arial" w:hAnsi="Arial" w:cs="Arial"/>
          <w:sz w:val="21"/>
          <w:szCs w:val="21"/>
        </w:rPr>
        <w:t xml:space="preserve"> (1)</w:t>
      </w:r>
      <w:r w:rsidRPr="004743BE">
        <w:rPr>
          <w:rFonts w:ascii="Arial" w:hAnsi="Arial" w:cs="Arial"/>
          <w:sz w:val="21"/>
          <w:szCs w:val="21"/>
        </w:rPr>
        <w:t>, aunque se omiten los de las tierras de las </w:t>
      </w:r>
      <w:hyperlink r:id="rId8" w:tooltip="Órdenes Militares" w:history="1">
        <w:r w:rsidR="00B82DA2">
          <w:rPr>
            <w:rStyle w:val="Hipervnculo"/>
            <w:rFonts w:ascii="Arial" w:eastAsiaTheme="majorEastAsia" w:hAnsi="Arial" w:cs="Arial"/>
            <w:color w:val="auto"/>
            <w:sz w:val="21"/>
            <w:szCs w:val="21"/>
            <w:u w:val="none"/>
          </w:rPr>
          <w:t>ór</w:t>
        </w:r>
        <w:r w:rsidRPr="004743BE">
          <w:rPr>
            <w:rStyle w:val="Hipervnculo"/>
            <w:rFonts w:ascii="Arial" w:eastAsiaTheme="majorEastAsia" w:hAnsi="Arial" w:cs="Arial"/>
            <w:color w:val="auto"/>
            <w:sz w:val="21"/>
            <w:szCs w:val="21"/>
            <w:u w:val="none"/>
          </w:rPr>
          <w:t xml:space="preserve">denes </w:t>
        </w:r>
        <w:r w:rsidR="00B82DA2">
          <w:rPr>
            <w:rStyle w:val="Hipervnculo"/>
            <w:rFonts w:ascii="Arial" w:eastAsiaTheme="majorEastAsia" w:hAnsi="Arial" w:cs="Arial"/>
            <w:color w:val="auto"/>
            <w:sz w:val="21"/>
            <w:szCs w:val="21"/>
            <w:u w:val="none"/>
          </w:rPr>
          <w:t>m</w:t>
        </w:r>
        <w:r w:rsidRPr="004743BE">
          <w:rPr>
            <w:rStyle w:val="Hipervnculo"/>
            <w:rFonts w:ascii="Arial" w:eastAsiaTheme="majorEastAsia" w:hAnsi="Arial" w:cs="Arial"/>
            <w:color w:val="auto"/>
            <w:sz w:val="21"/>
            <w:szCs w:val="21"/>
            <w:u w:val="none"/>
          </w:rPr>
          <w:t>ilitares</w:t>
        </w:r>
      </w:hyperlink>
      <w:r w:rsidRPr="004743BE">
        <w:rPr>
          <w:rFonts w:ascii="Arial" w:hAnsi="Arial" w:cs="Arial"/>
          <w:sz w:val="21"/>
          <w:szCs w:val="21"/>
        </w:rPr>
        <w:t>. También, por primera</w:t>
      </w:r>
      <w:r w:rsidR="00B82DA2">
        <w:rPr>
          <w:rFonts w:ascii="Arial" w:hAnsi="Arial" w:cs="Arial"/>
          <w:sz w:val="21"/>
          <w:szCs w:val="21"/>
        </w:rPr>
        <w:t xml:space="preserve"> vez</w:t>
      </w:r>
      <w:r w:rsidRPr="004743BE">
        <w:rPr>
          <w:rFonts w:ascii="Arial" w:hAnsi="Arial" w:cs="Arial"/>
          <w:sz w:val="21"/>
          <w:szCs w:val="21"/>
        </w:rPr>
        <w:t>, se clasifica a la población por sexo y edad. ​</w:t>
      </w:r>
    </w:p>
    <w:p w14:paraId="04EF2DAE" w14:textId="77777777" w:rsidR="00B82DA2" w:rsidRDefault="00B82DA2" w:rsidP="00B82DA2">
      <w:pPr>
        <w:pStyle w:val="NormalWeb"/>
        <w:shd w:val="clear" w:color="auto" w:fill="FFFFFF"/>
        <w:spacing w:before="120" w:beforeAutospacing="0" w:after="0" w:afterAutospacing="0"/>
        <w:rPr>
          <w:rFonts w:ascii="Arial" w:hAnsi="Arial" w:cs="Arial"/>
          <w:color w:val="202122"/>
          <w:sz w:val="21"/>
          <w:szCs w:val="21"/>
        </w:rPr>
      </w:pPr>
    </w:p>
    <w:p w14:paraId="66B80D67" w14:textId="0AB71129" w:rsidR="00B82DA2" w:rsidRPr="00D76C7B" w:rsidRDefault="00B82DA2" w:rsidP="00B82DA2">
      <w:pPr>
        <w:pStyle w:val="Ttulo3"/>
        <w:shd w:val="clear" w:color="auto" w:fill="FFFFFF"/>
        <w:spacing w:before="60" w:after="60"/>
        <w:rPr>
          <w:rFonts w:ascii="Calibri" w:hAnsi="Calibri" w:cs="Calibri"/>
          <w:b/>
          <w:bCs/>
          <w:color w:val="000000"/>
          <w:sz w:val="22"/>
          <w:szCs w:val="22"/>
        </w:rPr>
      </w:pPr>
      <w:r>
        <w:rPr>
          <w:rStyle w:val="mw-headline"/>
          <w:rFonts w:ascii="Calibri" w:hAnsi="Calibri" w:cs="Calibri"/>
          <w:b/>
          <w:bCs/>
          <w:color w:val="000000"/>
          <w:sz w:val="22"/>
          <w:szCs w:val="22"/>
        </w:rPr>
        <w:t>Reales Chancillerías, o</w:t>
      </w:r>
      <w:r w:rsidRPr="00D76C7B">
        <w:rPr>
          <w:rStyle w:val="mw-headline"/>
          <w:rFonts w:ascii="Calibri" w:hAnsi="Calibri" w:cs="Calibri"/>
          <w:b/>
          <w:bCs/>
          <w:color w:val="000000"/>
          <w:sz w:val="22"/>
          <w:szCs w:val="22"/>
        </w:rPr>
        <w:t>rigen del tribunal.</w:t>
      </w:r>
    </w:p>
    <w:p w14:paraId="16EDE27F" w14:textId="0CED78BB" w:rsidR="00A4175B" w:rsidRDefault="00335EEC" w:rsidP="002D24B0">
      <w:pPr>
        <w:pStyle w:val="NormalWeb"/>
        <w:shd w:val="clear" w:color="auto" w:fill="FFFFFF"/>
        <w:spacing w:before="120" w:beforeAutospacing="0" w:after="0" w:afterAutospacing="0"/>
        <w:jc w:val="both"/>
        <w:rPr>
          <w:rFonts w:ascii="Calibri" w:hAnsi="Calibri" w:cs="Calibri"/>
          <w:sz w:val="22"/>
          <w:szCs w:val="22"/>
        </w:rPr>
      </w:pPr>
      <w:r w:rsidRPr="002D24B0">
        <w:rPr>
          <w:rFonts w:ascii="Calibri" w:hAnsi="Calibri" w:cs="Calibri"/>
          <w:sz w:val="22"/>
          <w:szCs w:val="22"/>
        </w:rPr>
        <w:t xml:space="preserve">El origen remoto de </w:t>
      </w:r>
      <w:r w:rsidR="00152B2A" w:rsidRPr="002D24B0">
        <w:rPr>
          <w:rFonts w:ascii="Calibri" w:hAnsi="Calibri" w:cs="Calibri"/>
          <w:sz w:val="22"/>
          <w:szCs w:val="22"/>
        </w:rPr>
        <w:t xml:space="preserve">esta </w:t>
      </w:r>
      <w:r w:rsidRPr="002D24B0">
        <w:rPr>
          <w:rFonts w:ascii="Calibri" w:hAnsi="Calibri" w:cs="Calibri"/>
          <w:sz w:val="22"/>
          <w:szCs w:val="22"/>
        </w:rPr>
        <w:t xml:space="preserve">institución </w:t>
      </w:r>
      <w:r w:rsidR="00EB5346" w:rsidRPr="002D24B0">
        <w:rPr>
          <w:rFonts w:ascii="Calibri" w:hAnsi="Calibri" w:cs="Calibri"/>
          <w:sz w:val="22"/>
          <w:szCs w:val="22"/>
        </w:rPr>
        <w:t>hay que buscarlo en las</w:t>
      </w:r>
      <w:r w:rsidRPr="002D24B0">
        <w:rPr>
          <w:rFonts w:ascii="Calibri" w:hAnsi="Calibri" w:cs="Calibri"/>
          <w:sz w:val="22"/>
          <w:szCs w:val="22"/>
        </w:rPr>
        <w:t> </w:t>
      </w:r>
      <w:hyperlink r:id="rId9" w:tooltip="Cortes de Toro de 1371 (aún no redactado)" w:history="1">
        <w:r w:rsidRPr="002D24B0">
          <w:rPr>
            <w:rStyle w:val="Hipervnculo"/>
            <w:rFonts w:ascii="Calibri" w:eastAsiaTheme="majorEastAsia" w:hAnsi="Calibri" w:cs="Calibri"/>
            <w:color w:val="auto"/>
            <w:sz w:val="22"/>
            <w:szCs w:val="22"/>
            <w:u w:val="none"/>
          </w:rPr>
          <w:t>Cortes de Toro</w:t>
        </w:r>
      </w:hyperlink>
      <w:r w:rsidRPr="002D24B0">
        <w:rPr>
          <w:rFonts w:ascii="Calibri" w:hAnsi="Calibri" w:cs="Calibri"/>
          <w:sz w:val="22"/>
          <w:szCs w:val="22"/>
        </w:rPr>
        <w:t> de 1371</w:t>
      </w:r>
      <w:r w:rsidR="002D24B0">
        <w:rPr>
          <w:rFonts w:ascii="Calibri" w:hAnsi="Calibri" w:cs="Calibri"/>
          <w:sz w:val="22"/>
          <w:szCs w:val="22"/>
        </w:rPr>
        <w:t>,</w:t>
      </w:r>
      <w:r w:rsidRPr="002D24B0">
        <w:rPr>
          <w:rFonts w:ascii="Calibri" w:hAnsi="Calibri" w:cs="Calibri"/>
          <w:sz w:val="22"/>
          <w:szCs w:val="22"/>
        </w:rPr>
        <w:t xml:space="preserve"> convocadas por el monarca </w:t>
      </w:r>
      <w:hyperlink r:id="rId10" w:tooltip="Enrique II de Castilla" w:history="1">
        <w:r w:rsidRPr="002D24B0">
          <w:rPr>
            <w:rStyle w:val="Hipervnculo"/>
            <w:rFonts w:ascii="Calibri" w:eastAsiaTheme="majorEastAsia" w:hAnsi="Calibri" w:cs="Calibri"/>
            <w:color w:val="auto"/>
            <w:sz w:val="22"/>
            <w:szCs w:val="22"/>
            <w:u w:val="none"/>
          </w:rPr>
          <w:t>Enrique II</w:t>
        </w:r>
      </w:hyperlink>
      <w:r w:rsidRPr="002D24B0">
        <w:rPr>
          <w:rFonts w:ascii="Calibri" w:hAnsi="Calibri" w:cs="Calibri"/>
          <w:sz w:val="22"/>
          <w:szCs w:val="22"/>
        </w:rPr>
        <w:t xml:space="preserve">, quien llevó a cabo una serie de reformas judiciales, entre ellas la creación de la institución </w:t>
      </w:r>
      <w:r w:rsidR="00152B2A" w:rsidRPr="002D24B0">
        <w:rPr>
          <w:rFonts w:ascii="Calibri" w:hAnsi="Calibri" w:cs="Calibri"/>
          <w:sz w:val="22"/>
          <w:szCs w:val="22"/>
        </w:rPr>
        <w:t>conocida como</w:t>
      </w:r>
      <w:r w:rsidRPr="002D24B0">
        <w:rPr>
          <w:rFonts w:ascii="Calibri" w:hAnsi="Calibri" w:cs="Calibri"/>
          <w:sz w:val="22"/>
          <w:szCs w:val="22"/>
        </w:rPr>
        <w:t> </w:t>
      </w:r>
      <w:hyperlink r:id="rId11" w:tooltip="Real Audiencia" w:history="1">
        <w:r w:rsidRPr="00D76C7B">
          <w:rPr>
            <w:rStyle w:val="Hipervnculo"/>
            <w:rFonts w:ascii="Calibri" w:eastAsiaTheme="majorEastAsia" w:hAnsi="Calibri" w:cs="Calibri"/>
            <w:i/>
            <w:iCs/>
            <w:color w:val="auto"/>
            <w:sz w:val="22"/>
            <w:szCs w:val="22"/>
            <w:u w:val="none"/>
          </w:rPr>
          <w:t>Real Audiencia</w:t>
        </w:r>
      </w:hyperlink>
      <w:r w:rsidR="00152B2A" w:rsidRPr="00D76C7B">
        <w:rPr>
          <w:rFonts w:ascii="Calibri" w:hAnsi="Calibri" w:cs="Calibri"/>
          <w:i/>
          <w:iCs/>
          <w:sz w:val="22"/>
          <w:szCs w:val="22"/>
        </w:rPr>
        <w:t>,</w:t>
      </w:r>
      <w:r w:rsidR="00152B2A" w:rsidRPr="002D24B0">
        <w:rPr>
          <w:rFonts w:ascii="Calibri" w:hAnsi="Calibri" w:cs="Calibri"/>
          <w:sz w:val="22"/>
          <w:szCs w:val="22"/>
        </w:rPr>
        <w:t xml:space="preserve"> </w:t>
      </w:r>
      <w:r w:rsidRPr="002D24B0">
        <w:rPr>
          <w:rFonts w:ascii="Calibri" w:hAnsi="Calibri" w:cs="Calibri"/>
          <w:sz w:val="22"/>
          <w:szCs w:val="22"/>
        </w:rPr>
        <w:t>un tribunal de suplicación de los pleitos que hasta entonces eran recurridos ante el rey</w:t>
      </w:r>
      <w:r w:rsidR="002D24B0">
        <w:rPr>
          <w:rFonts w:ascii="Calibri" w:hAnsi="Calibri" w:cs="Calibri"/>
          <w:sz w:val="22"/>
          <w:szCs w:val="22"/>
        </w:rPr>
        <w:t>. E</w:t>
      </w:r>
      <w:r w:rsidRPr="002D24B0">
        <w:rPr>
          <w:rFonts w:ascii="Calibri" w:hAnsi="Calibri" w:cs="Calibri"/>
          <w:sz w:val="22"/>
          <w:szCs w:val="22"/>
        </w:rPr>
        <w:t>n un primer momento el tribunal careció de sede fija, siendo itinerante</w:t>
      </w:r>
      <w:r w:rsidR="003F35A9">
        <w:rPr>
          <w:rFonts w:ascii="Calibri" w:hAnsi="Calibri" w:cs="Calibri"/>
          <w:sz w:val="22"/>
          <w:szCs w:val="22"/>
        </w:rPr>
        <w:t xml:space="preserve"> y</w:t>
      </w:r>
      <w:r w:rsidRPr="002D24B0">
        <w:rPr>
          <w:rFonts w:ascii="Calibri" w:hAnsi="Calibri" w:cs="Calibri"/>
          <w:sz w:val="22"/>
          <w:szCs w:val="22"/>
        </w:rPr>
        <w:t xml:space="preserve"> dependiendo de los movimientos del rey y el establecimiento de la</w:t>
      </w:r>
      <w:r w:rsidR="002D24B0">
        <w:rPr>
          <w:rFonts w:ascii="Calibri" w:hAnsi="Calibri" w:cs="Calibri"/>
          <w:sz w:val="22"/>
          <w:szCs w:val="22"/>
        </w:rPr>
        <w:t xml:space="preserve"> </w:t>
      </w:r>
      <w:r w:rsidR="00B82DA2">
        <w:rPr>
          <w:rFonts w:ascii="Calibri" w:hAnsi="Calibri" w:cs="Calibri"/>
          <w:sz w:val="22"/>
          <w:szCs w:val="22"/>
        </w:rPr>
        <w:t>c</w:t>
      </w:r>
      <w:r w:rsidR="002D24B0">
        <w:rPr>
          <w:rFonts w:ascii="Calibri" w:hAnsi="Calibri" w:cs="Calibri"/>
          <w:sz w:val="22"/>
          <w:szCs w:val="22"/>
        </w:rPr>
        <w:t>orte.</w:t>
      </w:r>
      <w:r w:rsidRPr="002D24B0">
        <w:rPr>
          <w:rFonts w:ascii="Calibri" w:hAnsi="Calibri" w:cs="Calibri"/>
          <w:sz w:val="22"/>
          <w:szCs w:val="22"/>
        </w:rPr>
        <w:t xml:space="preserve"> Por ello la audiencia era </w:t>
      </w:r>
      <w:r w:rsidR="00D76C7B">
        <w:rPr>
          <w:rFonts w:ascii="Calibri" w:hAnsi="Calibri" w:cs="Calibri"/>
          <w:sz w:val="22"/>
          <w:szCs w:val="22"/>
        </w:rPr>
        <w:t>instalada</w:t>
      </w:r>
      <w:r w:rsidRPr="002D24B0">
        <w:rPr>
          <w:rFonts w:ascii="Calibri" w:hAnsi="Calibri" w:cs="Calibri"/>
          <w:sz w:val="22"/>
          <w:szCs w:val="22"/>
        </w:rPr>
        <w:t xml:space="preserve"> en el mismo lugar en el que residía el </w:t>
      </w:r>
      <w:hyperlink r:id="rId12" w:tooltip="Canciller" w:history="1">
        <w:r w:rsidRPr="002D24B0">
          <w:rPr>
            <w:rStyle w:val="Hipervnculo"/>
            <w:rFonts w:ascii="Calibri" w:eastAsiaTheme="majorEastAsia" w:hAnsi="Calibri" w:cs="Calibri"/>
            <w:color w:val="auto"/>
            <w:sz w:val="22"/>
            <w:szCs w:val="22"/>
            <w:u w:val="none"/>
          </w:rPr>
          <w:t>chanciller</w:t>
        </w:r>
      </w:hyperlink>
      <w:r w:rsidRPr="002D24B0">
        <w:rPr>
          <w:rFonts w:ascii="Calibri" w:hAnsi="Calibri" w:cs="Calibri"/>
          <w:sz w:val="22"/>
          <w:szCs w:val="22"/>
        </w:rPr>
        <w:t xml:space="preserve">, empleado encargado </w:t>
      </w:r>
      <w:r w:rsidR="0074078B">
        <w:rPr>
          <w:rFonts w:ascii="Calibri" w:hAnsi="Calibri" w:cs="Calibri"/>
          <w:sz w:val="22"/>
          <w:szCs w:val="22"/>
        </w:rPr>
        <w:t>d</w:t>
      </w:r>
      <w:r w:rsidRPr="002D24B0">
        <w:rPr>
          <w:rFonts w:ascii="Calibri" w:hAnsi="Calibri" w:cs="Calibri"/>
          <w:sz w:val="22"/>
          <w:szCs w:val="22"/>
        </w:rPr>
        <w:t xml:space="preserve">el sellado de los documentos reales, </w:t>
      </w:r>
      <w:r w:rsidR="0074078B">
        <w:rPr>
          <w:rFonts w:ascii="Calibri" w:hAnsi="Calibri" w:cs="Calibri"/>
          <w:sz w:val="22"/>
          <w:szCs w:val="22"/>
        </w:rPr>
        <w:t>empezando</w:t>
      </w:r>
      <w:r w:rsidRPr="002D24B0">
        <w:rPr>
          <w:rFonts w:ascii="Calibri" w:hAnsi="Calibri" w:cs="Calibri"/>
          <w:sz w:val="22"/>
          <w:szCs w:val="22"/>
        </w:rPr>
        <w:t xml:space="preserve"> por ello a ser denominada </w:t>
      </w:r>
      <w:r w:rsidRPr="002D24B0">
        <w:rPr>
          <w:rFonts w:ascii="Calibri" w:hAnsi="Calibri" w:cs="Calibri"/>
          <w:i/>
          <w:iCs/>
          <w:sz w:val="22"/>
          <w:szCs w:val="22"/>
        </w:rPr>
        <w:t>Chancillería</w:t>
      </w:r>
      <w:r w:rsidRPr="002D24B0">
        <w:rPr>
          <w:rFonts w:ascii="Calibri" w:hAnsi="Calibri" w:cs="Calibri"/>
          <w:sz w:val="22"/>
          <w:szCs w:val="22"/>
        </w:rPr>
        <w:t> a partir de 1390</w:t>
      </w:r>
      <w:r w:rsidR="002D24B0">
        <w:rPr>
          <w:rFonts w:ascii="Calibri" w:hAnsi="Calibri" w:cs="Calibri"/>
          <w:sz w:val="22"/>
          <w:szCs w:val="22"/>
        </w:rPr>
        <w:t>.</w:t>
      </w:r>
      <w:r w:rsidR="00EB5346" w:rsidRPr="002D24B0">
        <w:rPr>
          <w:rFonts w:ascii="Calibri" w:hAnsi="Calibri" w:cs="Calibri"/>
          <w:sz w:val="22"/>
          <w:szCs w:val="22"/>
        </w:rPr>
        <w:t xml:space="preserve"> </w:t>
      </w:r>
      <w:r w:rsidRPr="002D24B0">
        <w:rPr>
          <w:rFonts w:ascii="Calibri" w:hAnsi="Calibri" w:cs="Calibri"/>
          <w:sz w:val="22"/>
          <w:szCs w:val="22"/>
        </w:rPr>
        <w:t>Durante los reinados posteriores se comenzó a consolidar y establecer las competencias del nuevo tribunal</w:t>
      </w:r>
      <w:r w:rsidR="003F35A9">
        <w:rPr>
          <w:rFonts w:ascii="Calibri" w:hAnsi="Calibri" w:cs="Calibri"/>
          <w:sz w:val="22"/>
          <w:szCs w:val="22"/>
        </w:rPr>
        <w:t xml:space="preserve"> y en 1442 se instaura definitivamente en la ciudad de Valladolid</w:t>
      </w:r>
      <w:r w:rsidR="003520CB">
        <w:rPr>
          <w:rFonts w:ascii="Calibri" w:hAnsi="Calibri" w:cs="Calibri"/>
          <w:sz w:val="22"/>
          <w:szCs w:val="22"/>
        </w:rPr>
        <w:t xml:space="preserve"> (</w:t>
      </w:r>
      <w:r w:rsidR="004743BE">
        <w:rPr>
          <w:rFonts w:ascii="Calibri" w:hAnsi="Calibri" w:cs="Calibri"/>
          <w:sz w:val="22"/>
          <w:szCs w:val="22"/>
        </w:rPr>
        <w:t>2</w:t>
      </w:r>
      <w:r w:rsidR="003520CB">
        <w:rPr>
          <w:rFonts w:ascii="Calibri" w:hAnsi="Calibri" w:cs="Calibri"/>
          <w:sz w:val="22"/>
          <w:szCs w:val="22"/>
        </w:rPr>
        <w:t>)</w:t>
      </w:r>
      <w:r w:rsidR="003F35A9">
        <w:rPr>
          <w:rFonts w:ascii="Calibri" w:hAnsi="Calibri" w:cs="Calibri"/>
          <w:sz w:val="22"/>
          <w:szCs w:val="22"/>
        </w:rPr>
        <w:t xml:space="preserve">, después de que </w:t>
      </w:r>
      <w:r w:rsidRPr="002D24B0">
        <w:rPr>
          <w:rFonts w:ascii="Calibri" w:hAnsi="Calibri" w:cs="Calibri"/>
          <w:sz w:val="22"/>
          <w:szCs w:val="22"/>
        </w:rPr>
        <w:t xml:space="preserve"> </w:t>
      </w:r>
      <w:hyperlink r:id="rId13" w:tooltip="Enrique III de Castilla" w:history="1">
        <w:r w:rsidR="001739F6" w:rsidRPr="002D24B0">
          <w:rPr>
            <w:rStyle w:val="Hipervnculo"/>
            <w:rFonts w:ascii="Calibri" w:eastAsiaTheme="majorEastAsia" w:hAnsi="Calibri" w:cs="Calibri"/>
            <w:color w:val="auto"/>
            <w:sz w:val="22"/>
            <w:szCs w:val="22"/>
            <w:u w:val="none"/>
          </w:rPr>
          <w:t>Enrique III</w:t>
        </w:r>
      </w:hyperlink>
      <w:r w:rsidR="001739F6" w:rsidRPr="002D24B0">
        <w:rPr>
          <w:rFonts w:ascii="Calibri" w:hAnsi="Calibri" w:cs="Calibri"/>
          <w:sz w:val="22"/>
          <w:szCs w:val="22"/>
        </w:rPr>
        <w:t xml:space="preserve">  y </w:t>
      </w:r>
      <w:hyperlink r:id="rId14" w:tooltip="Juan II de Castilla" w:history="1">
        <w:r w:rsidR="001739F6" w:rsidRPr="002D24B0">
          <w:rPr>
            <w:rStyle w:val="Hipervnculo"/>
            <w:rFonts w:ascii="Calibri" w:eastAsiaTheme="majorEastAsia" w:hAnsi="Calibri" w:cs="Calibri"/>
            <w:color w:val="auto"/>
            <w:sz w:val="22"/>
            <w:szCs w:val="22"/>
            <w:u w:val="none"/>
          </w:rPr>
          <w:t>Juan II</w:t>
        </w:r>
      </w:hyperlink>
      <w:r w:rsidR="003F35A9">
        <w:rPr>
          <w:rFonts w:ascii="Calibri" w:hAnsi="Calibri" w:cs="Calibri"/>
          <w:sz w:val="22"/>
          <w:szCs w:val="22"/>
        </w:rPr>
        <w:t xml:space="preserve"> eligiesen dicha ciudad como sede durante sus reinados. </w:t>
      </w:r>
      <w:hyperlink r:id="rId15" w:anchor="cite_note-3" w:history="1"/>
      <w:r w:rsidR="001739F6" w:rsidRPr="002D24B0">
        <w:rPr>
          <w:rStyle w:val="Hipervnculo"/>
          <w:rFonts w:ascii="Calibri" w:eastAsiaTheme="majorEastAsia" w:hAnsi="Calibri" w:cs="Calibri"/>
          <w:color w:val="auto"/>
          <w:sz w:val="22"/>
          <w:szCs w:val="22"/>
          <w:u w:val="none"/>
          <w:vertAlign w:val="superscript"/>
        </w:rPr>
        <w:t xml:space="preserve"> </w:t>
      </w:r>
      <w:r w:rsidRPr="002D24B0">
        <w:rPr>
          <w:rFonts w:ascii="Calibri" w:hAnsi="Calibri" w:cs="Calibri"/>
          <w:sz w:val="22"/>
          <w:szCs w:val="22"/>
        </w:rPr>
        <w:t xml:space="preserve">Todas estas actuaciones tuvieron su punto </w:t>
      </w:r>
      <w:r w:rsidR="003F35A9">
        <w:rPr>
          <w:rFonts w:ascii="Calibri" w:hAnsi="Calibri" w:cs="Calibri"/>
          <w:sz w:val="22"/>
          <w:szCs w:val="22"/>
        </w:rPr>
        <w:t>culminante</w:t>
      </w:r>
      <w:r w:rsidRPr="002D24B0">
        <w:rPr>
          <w:rFonts w:ascii="Calibri" w:hAnsi="Calibri" w:cs="Calibri"/>
          <w:sz w:val="22"/>
          <w:szCs w:val="22"/>
        </w:rPr>
        <w:t xml:space="preserve"> </w:t>
      </w:r>
      <w:r w:rsidR="003F35A9">
        <w:rPr>
          <w:rFonts w:ascii="Calibri" w:hAnsi="Calibri" w:cs="Calibri"/>
          <w:sz w:val="22"/>
          <w:szCs w:val="22"/>
        </w:rPr>
        <w:t>en tiempo</w:t>
      </w:r>
      <w:r w:rsidRPr="002D24B0">
        <w:rPr>
          <w:rFonts w:ascii="Calibri" w:hAnsi="Calibri" w:cs="Calibri"/>
          <w:sz w:val="22"/>
          <w:szCs w:val="22"/>
        </w:rPr>
        <w:t xml:space="preserve"> de los </w:t>
      </w:r>
      <w:hyperlink r:id="rId16" w:tooltip="Reyes Católicos" w:history="1">
        <w:r w:rsidRPr="002D24B0">
          <w:rPr>
            <w:rStyle w:val="Hipervnculo"/>
            <w:rFonts w:ascii="Calibri" w:eastAsiaTheme="majorEastAsia" w:hAnsi="Calibri" w:cs="Calibri"/>
            <w:color w:val="auto"/>
            <w:sz w:val="22"/>
            <w:szCs w:val="22"/>
            <w:u w:val="none"/>
          </w:rPr>
          <w:t>Reyes Católicos</w:t>
        </w:r>
      </w:hyperlink>
      <w:r w:rsidRPr="002D24B0">
        <w:rPr>
          <w:rFonts w:ascii="Calibri" w:hAnsi="Calibri" w:cs="Calibri"/>
          <w:sz w:val="22"/>
          <w:szCs w:val="22"/>
        </w:rPr>
        <w:t xml:space="preserve">, quienes </w:t>
      </w:r>
      <w:r w:rsidR="00D76C7B">
        <w:rPr>
          <w:rFonts w:ascii="Calibri" w:hAnsi="Calibri" w:cs="Calibri"/>
          <w:sz w:val="22"/>
          <w:szCs w:val="22"/>
        </w:rPr>
        <w:t>dispusieron</w:t>
      </w:r>
      <w:r w:rsidRPr="002D24B0">
        <w:rPr>
          <w:rFonts w:ascii="Calibri" w:hAnsi="Calibri" w:cs="Calibri"/>
          <w:sz w:val="22"/>
          <w:szCs w:val="22"/>
        </w:rPr>
        <w:t xml:space="preserve"> una serie de medidas que conferirán el carácter </w:t>
      </w:r>
      <w:r w:rsidR="00D76C7B">
        <w:rPr>
          <w:rFonts w:ascii="Calibri" w:hAnsi="Calibri" w:cs="Calibri"/>
          <w:sz w:val="22"/>
          <w:szCs w:val="22"/>
        </w:rPr>
        <w:t xml:space="preserve">definitivo </w:t>
      </w:r>
      <w:r w:rsidRPr="002D24B0">
        <w:rPr>
          <w:rFonts w:ascii="Calibri" w:hAnsi="Calibri" w:cs="Calibri"/>
          <w:sz w:val="22"/>
          <w:szCs w:val="22"/>
        </w:rPr>
        <w:t>del tribunal</w:t>
      </w:r>
      <w:r w:rsidR="00152B2A" w:rsidRPr="002D24B0">
        <w:rPr>
          <w:rFonts w:ascii="Calibri" w:hAnsi="Calibri" w:cs="Calibri"/>
          <w:sz w:val="22"/>
          <w:szCs w:val="22"/>
        </w:rPr>
        <w:t xml:space="preserve"> </w:t>
      </w:r>
      <w:r w:rsidRPr="002D24B0">
        <w:rPr>
          <w:rFonts w:ascii="Calibri" w:hAnsi="Calibri" w:cs="Calibri"/>
          <w:sz w:val="22"/>
          <w:szCs w:val="22"/>
        </w:rPr>
        <w:t>determinando incluso la creación d</w:t>
      </w:r>
      <w:r w:rsidR="00D76C7B">
        <w:rPr>
          <w:rFonts w:ascii="Calibri" w:hAnsi="Calibri" w:cs="Calibri"/>
          <w:sz w:val="22"/>
          <w:szCs w:val="22"/>
        </w:rPr>
        <w:t>e un</w:t>
      </w:r>
      <w:r w:rsidRPr="002D24B0">
        <w:rPr>
          <w:rFonts w:ascii="Calibri" w:hAnsi="Calibri" w:cs="Calibri"/>
          <w:sz w:val="22"/>
          <w:szCs w:val="22"/>
        </w:rPr>
        <w:t> </w:t>
      </w:r>
      <w:hyperlink r:id="rId17" w:tooltip="Archivo de la Real Chancillería de Valladolid" w:history="1">
        <w:r w:rsidRPr="002D24B0">
          <w:rPr>
            <w:rStyle w:val="Hipervnculo"/>
            <w:rFonts w:ascii="Calibri" w:eastAsiaTheme="majorEastAsia" w:hAnsi="Calibri" w:cs="Calibri"/>
            <w:color w:val="auto"/>
            <w:sz w:val="22"/>
            <w:szCs w:val="22"/>
            <w:u w:val="none"/>
          </w:rPr>
          <w:t>archivo de la Real Chancillería</w:t>
        </w:r>
      </w:hyperlink>
      <w:r w:rsidR="003F35A9">
        <w:rPr>
          <w:rFonts w:ascii="Calibri" w:hAnsi="Calibri" w:cs="Calibri"/>
          <w:sz w:val="22"/>
          <w:szCs w:val="22"/>
        </w:rPr>
        <w:t xml:space="preserve"> (el </w:t>
      </w:r>
      <w:r w:rsidRPr="002D24B0">
        <w:rPr>
          <w:rFonts w:ascii="Calibri" w:hAnsi="Calibri" w:cs="Calibri"/>
          <w:sz w:val="22"/>
          <w:szCs w:val="22"/>
        </w:rPr>
        <w:t xml:space="preserve">capítulo 51 </w:t>
      </w:r>
      <w:r w:rsidR="003F35A9">
        <w:rPr>
          <w:rFonts w:ascii="Calibri" w:hAnsi="Calibri" w:cs="Calibri"/>
          <w:sz w:val="22"/>
          <w:szCs w:val="22"/>
        </w:rPr>
        <w:t>recogía que</w:t>
      </w:r>
      <w:r w:rsidRPr="002D24B0">
        <w:rPr>
          <w:rFonts w:ascii="Calibri" w:hAnsi="Calibri" w:cs="Calibri"/>
          <w:sz w:val="22"/>
          <w:szCs w:val="22"/>
        </w:rPr>
        <w:t xml:space="preserve"> debía existir dentro del tribunal una cámara con dos armarios que custodiasen tanto los pleitos resueltos como los privilegios y documentos relacionados con la Chancillería y sus derechos</w:t>
      </w:r>
      <w:r w:rsidR="003F35A9">
        <w:rPr>
          <w:rFonts w:ascii="Calibri" w:hAnsi="Calibri" w:cs="Calibri"/>
          <w:sz w:val="22"/>
          <w:szCs w:val="22"/>
        </w:rPr>
        <w:t>)</w:t>
      </w:r>
      <w:r w:rsidRPr="002D24B0">
        <w:rPr>
          <w:rFonts w:ascii="Calibri" w:hAnsi="Calibri" w:cs="Calibri"/>
          <w:sz w:val="22"/>
          <w:szCs w:val="22"/>
        </w:rPr>
        <w:t>.</w:t>
      </w:r>
      <w:r w:rsidR="00D76C7B" w:rsidRPr="002D24B0">
        <w:rPr>
          <w:rFonts w:ascii="Calibri" w:hAnsi="Calibri" w:cs="Calibri"/>
          <w:sz w:val="22"/>
          <w:szCs w:val="22"/>
        </w:rPr>
        <w:t xml:space="preserve"> </w:t>
      </w:r>
      <w:r w:rsidRPr="002D24B0">
        <w:rPr>
          <w:rFonts w:ascii="Calibri" w:hAnsi="Calibri" w:cs="Calibri"/>
          <w:sz w:val="22"/>
          <w:szCs w:val="22"/>
        </w:rPr>
        <w:t>​En 1494, la reina </w:t>
      </w:r>
      <w:hyperlink r:id="rId18" w:tooltip="Isabel I de Castilla" w:history="1">
        <w:r w:rsidRPr="002D24B0">
          <w:rPr>
            <w:rStyle w:val="Hipervnculo"/>
            <w:rFonts w:ascii="Calibri" w:eastAsiaTheme="majorEastAsia" w:hAnsi="Calibri" w:cs="Calibri"/>
            <w:color w:val="auto"/>
            <w:sz w:val="22"/>
            <w:szCs w:val="22"/>
            <w:u w:val="none"/>
          </w:rPr>
          <w:t>Isabel I</w:t>
        </w:r>
      </w:hyperlink>
      <w:r w:rsidRPr="002D24B0">
        <w:rPr>
          <w:rFonts w:ascii="Calibri" w:hAnsi="Calibri" w:cs="Calibri"/>
          <w:sz w:val="22"/>
          <w:szCs w:val="22"/>
        </w:rPr>
        <w:t> recortó las competencias territoriales de la Chancillería de Valladolid estableciendo la división de la administración de justicia del reino en dos demarcaciones: el territorio comprendido al norte del </w:t>
      </w:r>
      <w:hyperlink r:id="rId19" w:tooltip="Río Tajo" w:history="1">
        <w:r w:rsidRPr="002D24B0">
          <w:rPr>
            <w:rStyle w:val="Hipervnculo"/>
            <w:rFonts w:ascii="Calibri" w:eastAsiaTheme="majorEastAsia" w:hAnsi="Calibri" w:cs="Calibri"/>
            <w:color w:val="auto"/>
            <w:sz w:val="22"/>
            <w:szCs w:val="22"/>
            <w:u w:val="none"/>
          </w:rPr>
          <w:t>río Tajo</w:t>
        </w:r>
      </w:hyperlink>
      <w:r w:rsidRPr="002D24B0">
        <w:rPr>
          <w:rFonts w:ascii="Calibri" w:hAnsi="Calibri" w:cs="Calibri"/>
          <w:sz w:val="22"/>
          <w:szCs w:val="22"/>
        </w:rPr>
        <w:t> quedó bajo la jurisdicción del tribunal existente, y para el territorio situado al sur del mismo creó la </w:t>
      </w:r>
      <w:hyperlink r:id="rId20" w:tooltip="Real Audiencia y Chancillería de Ciudad Real" w:history="1">
        <w:r w:rsidRPr="002D24B0">
          <w:rPr>
            <w:rStyle w:val="Hipervnculo"/>
            <w:rFonts w:ascii="Calibri" w:eastAsiaTheme="majorEastAsia" w:hAnsi="Calibri" w:cs="Calibri"/>
            <w:color w:val="auto"/>
            <w:sz w:val="22"/>
            <w:szCs w:val="22"/>
            <w:u w:val="none"/>
          </w:rPr>
          <w:t>Real Audiencia y Chancillería de Ciudad Real</w:t>
        </w:r>
      </w:hyperlink>
      <w:r w:rsidRPr="002D24B0">
        <w:rPr>
          <w:rFonts w:ascii="Calibri" w:hAnsi="Calibri" w:cs="Calibri"/>
          <w:sz w:val="22"/>
          <w:szCs w:val="22"/>
        </w:rPr>
        <w:t>. En el año 1500 se decidió trasladar este nuevo tribunal a la ciudad de </w:t>
      </w:r>
      <w:hyperlink r:id="rId21" w:tooltip="Granada" w:history="1">
        <w:r w:rsidRPr="002D24B0">
          <w:rPr>
            <w:rStyle w:val="Hipervnculo"/>
            <w:rFonts w:ascii="Calibri" w:eastAsiaTheme="majorEastAsia" w:hAnsi="Calibri" w:cs="Calibri"/>
            <w:color w:val="auto"/>
            <w:sz w:val="22"/>
            <w:szCs w:val="22"/>
            <w:u w:val="none"/>
          </w:rPr>
          <w:t>Granada</w:t>
        </w:r>
      </w:hyperlink>
      <w:r w:rsidRPr="002D24B0">
        <w:rPr>
          <w:rFonts w:ascii="Calibri" w:hAnsi="Calibri" w:cs="Calibri"/>
          <w:sz w:val="22"/>
          <w:szCs w:val="22"/>
        </w:rPr>
        <w:t>, hecho que se hizo efectivo en 1505,</w:t>
      </w:r>
      <w:r w:rsidR="003520CB">
        <w:rPr>
          <w:rFonts w:ascii="Calibri" w:hAnsi="Calibri" w:cs="Calibri"/>
          <w:sz w:val="22"/>
          <w:szCs w:val="22"/>
        </w:rPr>
        <w:t xml:space="preserve"> bajo el reinado de su hija, Juana I, </w:t>
      </w:r>
      <w:r w:rsidRPr="002D24B0">
        <w:rPr>
          <w:rFonts w:ascii="Calibri" w:hAnsi="Calibri" w:cs="Calibri"/>
          <w:sz w:val="22"/>
          <w:szCs w:val="22"/>
        </w:rPr>
        <w:t xml:space="preserve"> creando la </w:t>
      </w:r>
      <w:hyperlink r:id="rId22" w:tooltip="Real Chancillería de Granada" w:history="1">
        <w:r w:rsidRPr="002D24B0">
          <w:rPr>
            <w:rStyle w:val="Hipervnculo"/>
            <w:rFonts w:ascii="Calibri" w:eastAsiaTheme="majorEastAsia" w:hAnsi="Calibri" w:cs="Calibri"/>
            <w:color w:val="auto"/>
            <w:sz w:val="22"/>
            <w:szCs w:val="22"/>
            <w:u w:val="none"/>
          </w:rPr>
          <w:t>Real Chancillería de Granada</w:t>
        </w:r>
      </w:hyperlink>
      <w:r w:rsidR="00D76C7B">
        <w:rPr>
          <w:rStyle w:val="Hipervnculo"/>
          <w:rFonts w:ascii="Calibri" w:eastAsiaTheme="majorEastAsia" w:hAnsi="Calibri" w:cs="Calibri"/>
          <w:color w:val="auto"/>
          <w:sz w:val="22"/>
          <w:szCs w:val="22"/>
          <w:u w:val="none"/>
        </w:rPr>
        <w:t>,</w:t>
      </w:r>
      <w:r w:rsidR="003F35A9">
        <w:rPr>
          <w:rFonts w:ascii="Calibri" w:hAnsi="Calibri" w:cs="Calibri"/>
          <w:sz w:val="22"/>
          <w:szCs w:val="22"/>
        </w:rPr>
        <w:t xml:space="preserve"> también con su archivo </w:t>
      </w:r>
      <w:r w:rsidR="00D76C7B">
        <w:rPr>
          <w:rFonts w:ascii="Calibri" w:hAnsi="Calibri" w:cs="Calibri"/>
          <w:sz w:val="22"/>
          <w:szCs w:val="22"/>
        </w:rPr>
        <w:t xml:space="preserve">y </w:t>
      </w:r>
      <w:r w:rsidR="003F35A9">
        <w:rPr>
          <w:rFonts w:ascii="Calibri" w:hAnsi="Calibri" w:cs="Calibri"/>
          <w:sz w:val="22"/>
          <w:szCs w:val="22"/>
        </w:rPr>
        <w:t>en el que residen en la actualidad todos sus fondos documentales (</w:t>
      </w:r>
      <w:r w:rsidR="004743BE">
        <w:rPr>
          <w:rFonts w:ascii="Calibri" w:hAnsi="Calibri" w:cs="Calibri"/>
          <w:sz w:val="22"/>
          <w:szCs w:val="22"/>
        </w:rPr>
        <w:t>3</w:t>
      </w:r>
      <w:r w:rsidR="003F35A9">
        <w:rPr>
          <w:rFonts w:ascii="Calibri" w:hAnsi="Calibri" w:cs="Calibri"/>
          <w:sz w:val="22"/>
          <w:szCs w:val="22"/>
        </w:rPr>
        <w:t xml:space="preserve">). </w:t>
      </w:r>
    </w:p>
    <w:p w14:paraId="3715BBD1" w14:textId="77777777" w:rsidR="00B82DA2" w:rsidRDefault="00B82DA2" w:rsidP="002D24B0">
      <w:pPr>
        <w:pStyle w:val="NormalWeb"/>
        <w:shd w:val="clear" w:color="auto" w:fill="FFFFFF"/>
        <w:spacing w:before="120" w:beforeAutospacing="0" w:after="0" w:afterAutospacing="0"/>
        <w:jc w:val="both"/>
        <w:rPr>
          <w:rFonts w:ascii="Calibri" w:hAnsi="Calibri" w:cs="Calibri"/>
          <w:sz w:val="22"/>
          <w:szCs w:val="22"/>
        </w:rPr>
      </w:pPr>
    </w:p>
    <w:p w14:paraId="33530941" w14:textId="4C35BAB0" w:rsidR="00D76C7B" w:rsidRPr="00D76C7B" w:rsidRDefault="00D76C7B" w:rsidP="002D24B0">
      <w:pPr>
        <w:pStyle w:val="NormalWeb"/>
        <w:shd w:val="clear" w:color="auto" w:fill="FFFFFF"/>
        <w:spacing w:before="120" w:beforeAutospacing="0" w:after="0" w:afterAutospacing="0"/>
        <w:jc w:val="both"/>
        <w:rPr>
          <w:rFonts w:ascii="Calibri" w:hAnsi="Calibri" w:cs="Calibri"/>
          <w:b/>
          <w:bCs/>
          <w:sz w:val="22"/>
          <w:szCs w:val="22"/>
        </w:rPr>
      </w:pPr>
      <w:r w:rsidRPr="00D76C7B">
        <w:rPr>
          <w:rFonts w:ascii="Calibri" w:hAnsi="Calibri" w:cs="Calibri"/>
          <w:b/>
          <w:bCs/>
          <w:sz w:val="22"/>
          <w:szCs w:val="22"/>
        </w:rPr>
        <w:t>Evolución</w:t>
      </w:r>
      <w:r w:rsidR="00B82DA2">
        <w:rPr>
          <w:rFonts w:ascii="Calibri" w:hAnsi="Calibri" w:cs="Calibri"/>
          <w:b/>
          <w:bCs/>
          <w:sz w:val="22"/>
          <w:szCs w:val="22"/>
        </w:rPr>
        <w:t xml:space="preserve"> histórica</w:t>
      </w:r>
      <w:r w:rsidR="000A5AE5">
        <w:rPr>
          <w:rFonts w:ascii="Calibri" w:hAnsi="Calibri" w:cs="Calibri"/>
          <w:b/>
          <w:bCs/>
          <w:sz w:val="22"/>
          <w:szCs w:val="22"/>
        </w:rPr>
        <w:t>.</w:t>
      </w:r>
    </w:p>
    <w:p w14:paraId="532DA9FF" w14:textId="16E6A8B1" w:rsidR="001739F6" w:rsidRDefault="00335EEC" w:rsidP="002D24B0">
      <w:pPr>
        <w:pStyle w:val="NormalWeb"/>
        <w:shd w:val="clear" w:color="auto" w:fill="FFFFFF"/>
        <w:spacing w:before="120" w:beforeAutospacing="0" w:after="0" w:afterAutospacing="0"/>
        <w:jc w:val="both"/>
        <w:rPr>
          <w:rFonts w:ascii="Calibri" w:hAnsi="Calibri" w:cs="Calibri"/>
          <w:sz w:val="22"/>
          <w:szCs w:val="22"/>
        </w:rPr>
      </w:pPr>
      <w:r w:rsidRPr="002D24B0">
        <w:rPr>
          <w:rFonts w:ascii="Calibri" w:hAnsi="Calibri" w:cs="Calibri"/>
          <w:sz w:val="22"/>
          <w:szCs w:val="22"/>
        </w:rPr>
        <w:t>Con el paso tiempo y ante la necesidad de las Chancillerías de procurar una justicia territorial, se llevó a cabo en el siglo </w:t>
      </w:r>
      <w:r w:rsidR="000A5AE5" w:rsidRPr="002D24B0">
        <w:rPr>
          <w:rFonts w:ascii="Calibri" w:hAnsi="Calibri" w:cs="Calibri"/>
          <w:smallCaps/>
          <w:sz w:val="22"/>
          <w:szCs w:val="22"/>
        </w:rPr>
        <w:t>XVI</w:t>
      </w:r>
      <w:r w:rsidRPr="002D24B0">
        <w:rPr>
          <w:rFonts w:ascii="Calibri" w:hAnsi="Calibri" w:cs="Calibri"/>
          <w:sz w:val="22"/>
          <w:szCs w:val="22"/>
        </w:rPr>
        <w:t> una reorganización judicial, creando una serie de nuevas audiencias. De esta manera surgen la </w:t>
      </w:r>
      <w:hyperlink r:id="rId23" w:tooltip="Real Audiencia de Galicia" w:history="1">
        <w:r w:rsidRPr="002D24B0">
          <w:rPr>
            <w:rStyle w:val="Hipervnculo"/>
            <w:rFonts w:ascii="Calibri" w:eastAsiaTheme="majorEastAsia" w:hAnsi="Calibri" w:cs="Calibri"/>
            <w:color w:val="auto"/>
            <w:sz w:val="22"/>
            <w:szCs w:val="22"/>
            <w:u w:val="none"/>
          </w:rPr>
          <w:t>Real Audiencia de Galicia</w:t>
        </w:r>
      </w:hyperlink>
      <w:r w:rsidRPr="002D24B0">
        <w:rPr>
          <w:rFonts w:ascii="Calibri" w:hAnsi="Calibri" w:cs="Calibri"/>
          <w:sz w:val="22"/>
          <w:szCs w:val="22"/>
        </w:rPr>
        <w:t>, la </w:t>
      </w:r>
      <w:hyperlink r:id="rId24" w:tooltip="Real Audiencia de Canarias" w:history="1">
        <w:r w:rsidRPr="002D24B0">
          <w:rPr>
            <w:rStyle w:val="Hipervnculo"/>
            <w:rFonts w:ascii="Calibri" w:eastAsiaTheme="majorEastAsia" w:hAnsi="Calibri" w:cs="Calibri"/>
            <w:color w:val="auto"/>
            <w:sz w:val="22"/>
            <w:szCs w:val="22"/>
            <w:u w:val="none"/>
          </w:rPr>
          <w:t>Real Audiencia de Canarias</w:t>
        </w:r>
      </w:hyperlink>
      <w:r w:rsidRPr="002D24B0">
        <w:rPr>
          <w:rFonts w:ascii="Calibri" w:hAnsi="Calibri" w:cs="Calibri"/>
          <w:sz w:val="22"/>
          <w:szCs w:val="22"/>
        </w:rPr>
        <w:t xml:space="preserve"> y </w:t>
      </w:r>
      <w:r w:rsidRPr="002D24B0">
        <w:rPr>
          <w:rFonts w:ascii="Calibri" w:hAnsi="Calibri" w:cs="Calibri"/>
          <w:sz w:val="22"/>
          <w:szCs w:val="22"/>
        </w:rPr>
        <w:lastRenderedPageBreak/>
        <w:t>finalmente la </w:t>
      </w:r>
      <w:hyperlink r:id="rId25" w:tooltip="Real Audiencia de los Grados de Sevilla" w:history="1">
        <w:r w:rsidRPr="002D24B0">
          <w:rPr>
            <w:rStyle w:val="Hipervnculo"/>
            <w:rFonts w:ascii="Calibri" w:eastAsiaTheme="majorEastAsia" w:hAnsi="Calibri" w:cs="Calibri"/>
            <w:color w:val="auto"/>
            <w:sz w:val="22"/>
            <w:szCs w:val="22"/>
            <w:u w:val="none"/>
          </w:rPr>
          <w:t>Real Audiencia de los Grados</w:t>
        </w:r>
      </w:hyperlink>
      <w:r w:rsidRPr="002D24B0">
        <w:rPr>
          <w:rFonts w:ascii="Calibri" w:hAnsi="Calibri" w:cs="Calibri"/>
          <w:sz w:val="22"/>
          <w:szCs w:val="22"/>
        </w:rPr>
        <w:t> de </w:t>
      </w:r>
      <w:hyperlink r:id="rId26" w:tooltip="Sevilla" w:history="1">
        <w:r w:rsidRPr="002D24B0">
          <w:rPr>
            <w:rStyle w:val="Hipervnculo"/>
            <w:rFonts w:ascii="Calibri" w:eastAsiaTheme="majorEastAsia" w:hAnsi="Calibri" w:cs="Calibri"/>
            <w:color w:val="auto"/>
            <w:sz w:val="22"/>
            <w:szCs w:val="22"/>
            <w:u w:val="none"/>
          </w:rPr>
          <w:t>Sevilla</w:t>
        </w:r>
      </w:hyperlink>
      <w:r w:rsidRPr="002D24B0">
        <w:rPr>
          <w:rFonts w:ascii="Calibri" w:hAnsi="Calibri" w:cs="Calibri"/>
          <w:sz w:val="22"/>
          <w:szCs w:val="22"/>
        </w:rPr>
        <w:t> (1525), que aunque tenían competencias judiciales en asuntos civiles y criminales, no disponían de competencias de gobierno, siendo tribunales de </w:t>
      </w:r>
      <w:hyperlink r:id="rId27" w:tooltip="Apelación" w:history="1">
        <w:r w:rsidRPr="002D24B0">
          <w:rPr>
            <w:rStyle w:val="Hipervnculo"/>
            <w:rFonts w:ascii="Calibri" w:eastAsiaTheme="majorEastAsia" w:hAnsi="Calibri" w:cs="Calibri"/>
            <w:color w:val="auto"/>
            <w:sz w:val="22"/>
            <w:szCs w:val="22"/>
            <w:u w:val="none"/>
          </w:rPr>
          <w:t>apelación</w:t>
        </w:r>
      </w:hyperlink>
      <w:r w:rsidRPr="002D24B0">
        <w:rPr>
          <w:rFonts w:ascii="Calibri" w:hAnsi="Calibri" w:cs="Calibri"/>
          <w:sz w:val="22"/>
          <w:szCs w:val="22"/>
        </w:rPr>
        <w:t>; ninguna de estas audiencias estuvo en posesión del </w:t>
      </w:r>
      <w:hyperlink r:id="rId28" w:tooltip="Sello (cuño)" w:history="1">
        <w:r w:rsidRPr="002D24B0">
          <w:rPr>
            <w:rStyle w:val="Hipervnculo"/>
            <w:rFonts w:ascii="Calibri" w:eastAsiaTheme="majorEastAsia" w:hAnsi="Calibri" w:cs="Calibri"/>
            <w:color w:val="auto"/>
            <w:sz w:val="22"/>
            <w:szCs w:val="22"/>
            <w:u w:val="none"/>
          </w:rPr>
          <w:t>sello real</w:t>
        </w:r>
      </w:hyperlink>
      <w:r w:rsidRPr="002D24B0">
        <w:rPr>
          <w:rFonts w:ascii="Calibri" w:hAnsi="Calibri" w:cs="Calibri"/>
          <w:sz w:val="22"/>
          <w:szCs w:val="22"/>
        </w:rPr>
        <w:t>, y por ello no fueron chancillerías.</w:t>
      </w:r>
      <w:r w:rsidR="00D76C7B">
        <w:rPr>
          <w:rFonts w:ascii="Calibri" w:hAnsi="Calibri" w:cs="Calibri"/>
          <w:sz w:val="22"/>
          <w:szCs w:val="22"/>
        </w:rPr>
        <w:t xml:space="preserve"> </w:t>
      </w:r>
      <w:r w:rsidRPr="002D24B0">
        <w:rPr>
          <w:rFonts w:ascii="Calibri" w:hAnsi="Calibri" w:cs="Calibri"/>
          <w:sz w:val="22"/>
          <w:szCs w:val="22"/>
        </w:rPr>
        <w:t xml:space="preserve">Como consecuencia de la creación de estas audiencias, se van recortando paulatinamente las funciones de </w:t>
      </w:r>
      <w:r w:rsidR="000A5AE5">
        <w:rPr>
          <w:rFonts w:ascii="Calibri" w:hAnsi="Calibri" w:cs="Calibri"/>
          <w:sz w:val="22"/>
          <w:szCs w:val="22"/>
        </w:rPr>
        <w:t xml:space="preserve">ambas </w:t>
      </w:r>
      <w:r w:rsidR="000A5AE5" w:rsidRPr="002D24B0">
        <w:rPr>
          <w:rFonts w:ascii="Calibri" w:hAnsi="Calibri" w:cs="Calibri"/>
          <w:sz w:val="22"/>
          <w:szCs w:val="22"/>
        </w:rPr>
        <w:t>Chancillerías</w:t>
      </w:r>
      <w:r w:rsidR="0074078B">
        <w:rPr>
          <w:rFonts w:ascii="Calibri" w:hAnsi="Calibri" w:cs="Calibri"/>
          <w:sz w:val="22"/>
          <w:szCs w:val="22"/>
        </w:rPr>
        <w:t xml:space="preserve"> (Valladolid y Granada)</w:t>
      </w:r>
      <w:r w:rsidRPr="002D24B0">
        <w:rPr>
          <w:rFonts w:ascii="Calibri" w:hAnsi="Calibri" w:cs="Calibri"/>
          <w:sz w:val="22"/>
          <w:szCs w:val="22"/>
        </w:rPr>
        <w:t xml:space="preserve"> a pesar de que se mantiene como mayor órgano judicial. Durante la </w:t>
      </w:r>
      <w:hyperlink r:id="rId29" w:tooltip="Guerra de la Independencia Española" w:history="1">
        <w:r w:rsidRPr="002D24B0">
          <w:rPr>
            <w:rStyle w:val="Hipervnculo"/>
            <w:rFonts w:ascii="Calibri" w:eastAsiaTheme="majorEastAsia" w:hAnsi="Calibri" w:cs="Calibri"/>
            <w:color w:val="auto"/>
            <w:sz w:val="22"/>
            <w:szCs w:val="22"/>
            <w:u w:val="none"/>
          </w:rPr>
          <w:t>guerra de independencia</w:t>
        </w:r>
      </w:hyperlink>
      <w:r w:rsidRPr="002D24B0">
        <w:rPr>
          <w:rFonts w:ascii="Calibri" w:hAnsi="Calibri" w:cs="Calibri"/>
          <w:sz w:val="22"/>
          <w:szCs w:val="22"/>
        </w:rPr>
        <w:t>, a causa de la fragmentación territorial y administrativa reinante, comenzó a valorarse la existencia de la Real Chancillería, considerada un anticuado ente de justicia, y tras la </w:t>
      </w:r>
      <w:hyperlink r:id="rId30" w:tooltip="Constitución Española de 1812" w:history="1">
        <w:r w:rsidRPr="002D24B0">
          <w:rPr>
            <w:rStyle w:val="Hipervnculo"/>
            <w:rFonts w:ascii="Calibri" w:eastAsiaTheme="majorEastAsia" w:hAnsi="Calibri" w:cs="Calibri"/>
            <w:color w:val="auto"/>
            <w:sz w:val="22"/>
            <w:szCs w:val="22"/>
            <w:u w:val="none"/>
          </w:rPr>
          <w:t>Constitución Española de 1812</w:t>
        </w:r>
      </w:hyperlink>
      <w:r w:rsidRPr="002D24B0">
        <w:rPr>
          <w:rFonts w:ascii="Calibri" w:hAnsi="Calibri" w:cs="Calibri"/>
          <w:sz w:val="22"/>
          <w:szCs w:val="22"/>
        </w:rPr>
        <w:t> y posterior muerte de </w:t>
      </w:r>
      <w:hyperlink r:id="rId31" w:tooltip="Fernando VII de España" w:history="1">
        <w:r w:rsidRPr="002D24B0">
          <w:rPr>
            <w:rStyle w:val="Hipervnculo"/>
            <w:rFonts w:ascii="Calibri" w:eastAsiaTheme="majorEastAsia" w:hAnsi="Calibri" w:cs="Calibri"/>
            <w:color w:val="auto"/>
            <w:sz w:val="22"/>
            <w:szCs w:val="22"/>
            <w:u w:val="none"/>
          </w:rPr>
          <w:t>Fernando VII</w:t>
        </w:r>
      </w:hyperlink>
      <w:r w:rsidRPr="002D24B0">
        <w:rPr>
          <w:rFonts w:ascii="Calibri" w:hAnsi="Calibri" w:cs="Calibri"/>
          <w:sz w:val="22"/>
          <w:szCs w:val="22"/>
        </w:rPr>
        <w:t>, el país vive una gran reforma de la administración central que culmina con la definitiva supresión tanto del tribunal de Valladolid como el de Granada, por un decreto de 26 de enero de 1834, tras el establecimiento definitivo del </w:t>
      </w:r>
      <w:hyperlink r:id="rId32" w:tooltip="Liberalismo" w:history="1">
        <w:r w:rsidR="0074078B">
          <w:rPr>
            <w:rStyle w:val="Hipervnculo"/>
            <w:rFonts w:ascii="Calibri" w:eastAsiaTheme="majorEastAsia" w:hAnsi="Calibri" w:cs="Calibri"/>
            <w:color w:val="auto"/>
            <w:sz w:val="22"/>
            <w:szCs w:val="22"/>
            <w:u w:val="none"/>
          </w:rPr>
          <w:t>l</w:t>
        </w:r>
        <w:r w:rsidRPr="002D24B0">
          <w:rPr>
            <w:rStyle w:val="Hipervnculo"/>
            <w:rFonts w:ascii="Calibri" w:eastAsiaTheme="majorEastAsia" w:hAnsi="Calibri" w:cs="Calibri"/>
            <w:color w:val="auto"/>
            <w:sz w:val="22"/>
            <w:szCs w:val="22"/>
            <w:u w:val="none"/>
          </w:rPr>
          <w:t>iberalismo</w:t>
        </w:r>
      </w:hyperlink>
      <w:r w:rsidRPr="002D24B0">
        <w:rPr>
          <w:rFonts w:ascii="Calibri" w:hAnsi="Calibri" w:cs="Calibri"/>
          <w:sz w:val="22"/>
          <w:szCs w:val="22"/>
        </w:rPr>
        <w:t>. Mediante una serie de decretos, conocidos como </w:t>
      </w:r>
      <w:hyperlink r:id="rId33" w:tooltip="Decretos de Nueva Planta" w:history="1">
        <w:r w:rsidR="0074078B">
          <w:rPr>
            <w:rStyle w:val="Hipervnculo"/>
            <w:rFonts w:ascii="Calibri" w:eastAsiaTheme="majorEastAsia" w:hAnsi="Calibri" w:cs="Calibri"/>
            <w:color w:val="auto"/>
            <w:sz w:val="22"/>
            <w:szCs w:val="22"/>
            <w:u w:val="none"/>
          </w:rPr>
          <w:t>D</w:t>
        </w:r>
        <w:r w:rsidRPr="002D24B0">
          <w:rPr>
            <w:rStyle w:val="Hipervnculo"/>
            <w:rFonts w:ascii="Calibri" w:eastAsiaTheme="majorEastAsia" w:hAnsi="Calibri" w:cs="Calibri"/>
            <w:color w:val="auto"/>
            <w:sz w:val="22"/>
            <w:szCs w:val="22"/>
            <w:u w:val="none"/>
          </w:rPr>
          <w:t>ecretos de Nueva Planta</w:t>
        </w:r>
      </w:hyperlink>
      <w:r w:rsidRPr="002D24B0">
        <w:rPr>
          <w:rFonts w:ascii="Calibri" w:hAnsi="Calibri" w:cs="Calibri"/>
          <w:sz w:val="22"/>
          <w:szCs w:val="22"/>
        </w:rPr>
        <w:t>, se crean a su vez otras entidades de justicia acordes a la nueva doctrina política, con la exclusiva función judicial: el </w:t>
      </w:r>
      <w:hyperlink r:id="rId34" w:tooltip="Tribunal Supremo de España" w:history="1">
        <w:r w:rsidRPr="002D24B0">
          <w:rPr>
            <w:rStyle w:val="Hipervnculo"/>
            <w:rFonts w:ascii="Calibri" w:eastAsiaTheme="majorEastAsia" w:hAnsi="Calibri" w:cs="Calibri"/>
            <w:color w:val="auto"/>
            <w:sz w:val="22"/>
            <w:szCs w:val="22"/>
            <w:u w:val="none"/>
          </w:rPr>
          <w:t>Tribunal Supremo de España</w:t>
        </w:r>
      </w:hyperlink>
      <w:r w:rsidRPr="002D24B0">
        <w:rPr>
          <w:rFonts w:ascii="Calibri" w:hAnsi="Calibri" w:cs="Calibri"/>
          <w:sz w:val="22"/>
          <w:szCs w:val="22"/>
        </w:rPr>
        <w:t> y el </w:t>
      </w:r>
      <w:hyperlink r:id="rId35" w:tooltip="Consejo Real de España e Indias" w:history="1">
        <w:r w:rsidRPr="002D24B0">
          <w:rPr>
            <w:rStyle w:val="Hipervnculo"/>
            <w:rFonts w:ascii="Calibri" w:eastAsiaTheme="majorEastAsia" w:hAnsi="Calibri" w:cs="Calibri"/>
            <w:color w:val="auto"/>
            <w:sz w:val="22"/>
            <w:szCs w:val="22"/>
            <w:u w:val="none"/>
          </w:rPr>
          <w:t>Consejo Real de España e Indias</w:t>
        </w:r>
      </w:hyperlink>
      <w:r w:rsidRPr="002D24B0">
        <w:rPr>
          <w:rFonts w:ascii="Calibri" w:hAnsi="Calibri" w:cs="Calibri"/>
          <w:sz w:val="22"/>
          <w:szCs w:val="22"/>
        </w:rPr>
        <w:t>. Para sustituir a las reales audiencias fueron creadas las audiencias territoriales; la </w:t>
      </w:r>
      <w:hyperlink r:id="rId36" w:tooltip="Audiencia Territorial de Valladolid (aún no redactado)" w:history="1">
        <w:r w:rsidRPr="002D24B0">
          <w:rPr>
            <w:rStyle w:val="Hipervnculo"/>
            <w:rFonts w:ascii="Calibri" w:eastAsiaTheme="majorEastAsia" w:hAnsi="Calibri" w:cs="Calibri"/>
            <w:color w:val="auto"/>
            <w:sz w:val="22"/>
            <w:szCs w:val="22"/>
            <w:u w:val="none"/>
          </w:rPr>
          <w:t>Audiencia Territorial de Valladolid</w:t>
        </w:r>
      </w:hyperlink>
      <w:r w:rsidRPr="002D24B0">
        <w:rPr>
          <w:rFonts w:ascii="Calibri" w:hAnsi="Calibri" w:cs="Calibri"/>
          <w:sz w:val="22"/>
          <w:szCs w:val="22"/>
        </w:rPr>
        <w:t> heredó las competencias de la antigua Chancillería, con jurisdicción en las provincias de </w:t>
      </w:r>
      <w:hyperlink r:id="rId37" w:tooltip="Provincia de Valladolid" w:history="1">
        <w:r w:rsidRPr="002D24B0">
          <w:rPr>
            <w:rStyle w:val="Hipervnculo"/>
            <w:rFonts w:ascii="Calibri" w:eastAsiaTheme="majorEastAsia" w:hAnsi="Calibri" w:cs="Calibri"/>
            <w:color w:val="auto"/>
            <w:sz w:val="22"/>
            <w:szCs w:val="22"/>
            <w:u w:val="none"/>
          </w:rPr>
          <w:t>Valladolid</w:t>
        </w:r>
      </w:hyperlink>
      <w:r w:rsidRPr="002D24B0">
        <w:rPr>
          <w:rFonts w:ascii="Calibri" w:hAnsi="Calibri" w:cs="Calibri"/>
          <w:sz w:val="22"/>
          <w:szCs w:val="22"/>
        </w:rPr>
        <w:t>, </w:t>
      </w:r>
      <w:hyperlink r:id="rId38" w:tooltip="Provincia de Palencia" w:history="1">
        <w:r w:rsidRPr="002D24B0">
          <w:rPr>
            <w:rStyle w:val="Hipervnculo"/>
            <w:rFonts w:ascii="Calibri" w:eastAsiaTheme="majorEastAsia" w:hAnsi="Calibri" w:cs="Calibri"/>
            <w:color w:val="auto"/>
            <w:sz w:val="22"/>
            <w:szCs w:val="22"/>
            <w:u w:val="none"/>
          </w:rPr>
          <w:t>Palencia</w:t>
        </w:r>
      </w:hyperlink>
      <w:r w:rsidRPr="002D24B0">
        <w:rPr>
          <w:rFonts w:ascii="Calibri" w:hAnsi="Calibri" w:cs="Calibri"/>
          <w:sz w:val="22"/>
          <w:szCs w:val="22"/>
        </w:rPr>
        <w:t>, </w:t>
      </w:r>
      <w:hyperlink r:id="rId39" w:tooltip="Provincia de León" w:history="1">
        <w:r w:rsidRPr="002D24B0">
          <w:rPr>
            <w:rStyle w:val="Hipervnculo"/>
            <w:rFonts w:ascii="Calibri" w:eastAsiaTheme="majorEastAsia" w:hAnsi="Calibri" w:cs="Calibri"/>
            <w:color w:val="auto"/>
            <w:sz w:val="22"/>
            <w:szCs w:val="22"/>
            <w:u w:val="none"/>
          </w:rPr>
          <w:t>León</w:t>
        </w:r>
      </w:hyperlink>
      <w:r w:rsidRPr="002D24B0">
        <w:rPr>
          <w:rFonts w:ascii="Calibri" w:hAnsi="Calibri" w:cs="Calibri"/>
          <w:sz w:val="22"/>
          <w:szCs w:val="22"/>
        </w:rPr>
        <w:t>, </w:t>
      </w:r>
      <w:hyperlink r:id="rId40" w:tooltip="Provincia de Zamora" w:history="1">
        <w:r w:rsidRPr="002D24B0">
          <w:rPr>
            <w:rStyle w:val="Hipervnculo"/>
            <w:rFonts w:ascii="Calibri" w:eastAsiaTheme="majorEastAsia" w:hAnsi="Calibri" w:cs="Calibri"/>
            <w:color w:val="auto"/>
            <w:sz w:val="22"/>
            <w:szCs w:val="22"/>
            <w:u w:val="none"/>
          </w:rPr>
          <w:t>Zamora</w:t>
        </w:r>
      </w:hyperlink>
      <w:r w:rsidRPr="002D24B0">
        <w:rPr>
          <w:rFonts w:ascii="Calibri" w:hAnsi="Calibri" w:cs="Calibri"/>
          <w:sz w:val="22"/>
          <w:szCs w:val="22"/>
        </w:rPr>
        <w:t> y </w:t>
      </w:r>
      <w:hyperlink r:id="rId41" w:tooltip="Provincia de Salamanca" w:history="1">
        <w:r w:rsidRPr="002D24B0">
          <w:rPr>
            <w:rStyle w:val="Hipervnculo"/>
            <w:rFonts w:ascii="Calibri" w:eastAsiaTheme="majorEastAsia" w:hAnsi="Calibri" w:cs="Calibri"/>
            <w:color w:val="auto"/>
            <w:sz w:val="22"/>
            <w:szCs w:val="22"/>
            <w:u w:val="none"/>
          </w:rPr>
          <w:t>Salamanca</w:t>
        </w:r>
      </w:hyperlink>
      <w:r w:rsidRPr="002D24B0">
        <w:rPr>
          <w:rFonts w:ascii="Calibri" w:hAnsi="Calibri" w:cs="Calibri"/>
          <w:sz w:val="22"/>
          <w:szCs w:val="22"/>
        </w:rPr>
        <w:t>.</w:t>
      </w:r>
      <w:r w:rsidR="000A5AE5" w:rsidRPr="002D24B0">
        <w:rPr>
          <w:rFonts w:ascii="Calibri" w:hAnsi="Calibri" w:cs="Calibri"/>
          <w:sz w:val="22"/>
          <w:szCs w:val="22"/>
        </w:rPr>
        <w:t xml:space="preserve"> </w:t>
      </w:r>
      <w:r w:rsidRPr="002D24B0">
        <w:rPr>
          <w:rFonts w:ascii="Calibri" w:hAnsi="Calibri" w:cs="Calibri"/>
          <w:sz w:val="22"/>
          <w:szCs w:val="22"/>
        </w:rPr>
        <w:t>​</w:t>
      </w:r>
    </w:p>
    <w:p w14:paraId="796D0F3B" w14:textId="77777777" w:rsidR="00B82DA2" w:rsidRDefault="00B82DA2" w:rsidP="002D24B0">
      <w:pPr>
        <w:pStyle w:val="NormalWeb"/>
        <w:shd w:val="clear" w:color="auto" w:fill="FFFFFF"/>
        <w:spacing w:before="120" w:beforeAutospacing="0" w:after="0" w:afterAutospacing="0"/>
        <w:jc w:val="both"/>
        <w:rPr>
          <w:rFonts w:ascii="Calibri" w:hAnsi="Calibri" w:cs="Calibri"/>
          <w:sz w:val="22"/>
          <w:szCs w:val="22"/>
        </w:rPr>
      </w:pPr>
    </w:p>
    <w:p w14:paraId="6B651D25" w14:textId="1A2F3D8F" w:rsidR="000A5AE5" w:rsidRPr="000A5AE5" w:rsidRDefault="000A5AE5" w:rsidP="002D24B0">
      <w:pPr>
        <w:pStyle w:val="NormalWeb"/>
        <w:shd w:val="clear" w:color="auto" w:fill="FFFFFF"/>
        <w:spacing w:before="120" w:beforeAutospacing="0" w:after="0" w:afterAutospacing="0"/>
        <w:jc w:val="both"/>
        <w:rPr>
          <w:rFonts w:ascii="Calibri" w:hAnsi="Calibri" w:cs="Calibri"/>
          <w:b/>
          <w:bCs/>
          <w:sz w:val="22"/>
          <w:szCs w:val="22"/>
        </w:rPr>
      </w:pPr>
      <w:r w:rsidRPr="000A5AE5">
        <w:rPr>
          <w:rFonts w:ascii="Calibri" w:hAnsi="Calibri" w:cs="Calibri"/>
          <w:b/>
          <w:bCs/>
          <w:sz w:val="22"/>
          <w:szCs w:val="22"/>
        </w:rPr>
        <w:t>Composición y funciones.</w:t>
      </w:r>
    </w:p>
    <w:p w14:paraId="51774A35" w14:textId="5C27BCE5" w:rsidR="00335EEC" w:rsidRPr="002D24B0" w:rsidRDefault="000A5AE5" w:rsidP="002D24B0">
      <w:pPr>
        <w:pStyle w:val="NormalWeb"/>
        <w:shd w:val="clear" w:color="auto" w:fill="FFFFFF"/>
        <w:spacing w:before="120" w:beforeAutospacing="0" w:after="0" w:afterAutospacing="0"/>
        <w:jc w:val="both"/>
        <w:rPr>
          <w:rFonts w:ascii="Calibri" w:hAnsi="Calibri" w:cs="Calibri"/>
          <w:sz w:val="22"/>
          <w:szCs w:val="22"/>
        </w:rPr>
      </w:pPr>
      <w:r>
        <w:rPr>
          <w:rFonts w:ascii="Calibri" w:hAnsi="Calibri" w:cs="Calibri"/>
          <w:sz w:val="22"/>
          <w:szCs w:val="22"/>
        </w:rPr>
        <w:t>E</w:t>
      </w:r>
      <w:r w:rsidR="00335EEC" w:rsidRPr="002D24B0">
        <w:rPr>
          <w:rFonts w:ascii="Calibri" w:hAnsi="Calibri" w:cs="Calibri"/>
          <w:sz w:val="22"/>
          <w:szCs w:val="22"/>
        </w:rPr>
        <w:t>l tribunal de la Real Audiencia y Chancillería de Valladolid tenía entre sus principales funciones la de ser el más alto </w:t>
      </w:r>
      <w:hyperlink r:id="rId42" w:tooltip="Tribunal de apelación" w:history="1">
        <w:r w:rsidR="00335EEC" w:rsidRPr="002D24B0">
          <w:rPr>
            <w:rStyle w:val="Hipervnculo"/>
            <w:rFonts w:ascii="Calibri" w:eastAsiaTheme="majorEastAsia" w:hAnsi="Calibri" w:cs="Calibri"/>
            <w:color w:val="auto"/>
            <w:sz w:val="22"/>
            <w:szCs w:val="22"/>
            <w:u w:val="none"/>
          </w:rPr>
          <w:t>tribunal de apelación</w:t>
        </w:r>
      </w:hyperlink>
      <w:r w:rsidR="00335EEC" w:rsidRPr="002D24B0">
        <w:rPr>
          <w:rFonts w:ascii="Calibri" w:hAnsi="Calibri" w:cs="Calibri"/>
          <w:sz w:val="22"/>
          <w:szCs w:val="22"/>
        </w:rPr>
        <w:t> (con la salvedad de la Sala de las mil quinientas y el Consejo de Castilla) en el marco de su jurisdicción</w:t>
      </w:r>
      <w:r w:rsidR="00A4175B">
        <w:rPr>
          <w:rFonts w:ascii="Calibri" w:hAnsi="Calibri" w:cs="Calibri"/>
          <w:sz w:val="22"/>
          <w:szCs w:val="22"/>
        </w:rPr>
        <w:t xml:space="preserve"> (todo el territorio al norte del rio Tajo).</w:t>
      </w:r>
      <w:r w:rsidR="0074078B">
        <w:rPr>
          <w:rFonts w:ascii="Calibri" w:hAnsi="Calibri" w:cs="Calibri"/>
          <w:sz w:val="22"/>
          <w:szCs w:val="22"/>
        </w:rPr>
        <w:t xml:space="preserve"> S</w:t>
      </w:r>
      <w:r w:rsidR="00335EEC" w:rsidRPr="002D24B0">
        <w:rPr>
          <w:rFonts w:ascii="Calibri" w:hAnsi="Calibri" w:cs="Calibri"/>
          <w:sz w:val="22"/>
          <w:szCs w:val="22"/>
        </w:rPr>
        <w:t xml:space="preserve">e encontraba dividida en </w:t>
      </w:r>
      <w:r w:rsidR="0074078B">
        <w:rPr>
          <w:rFonts w:ascii="Calibri" w:hAnsi="Calibri" w:cs="Calibri"/>
          <w:sz w:val="22"/>
          <w:szCs w:val="22"/>
        </w:rPr>
        <w:t xml:space="preserve">4 </w:t>
      </w:r>
      <w:r w:rsidR="00335EEC" w:rsidRPr="002D24B0">
        <w:rPr>
          <w:rFonts w:ascii="Calibri" w:hAnsi="Calibri" w:cs="Calibri"/>
          <w:sz w:val="22"/>
          <w:szCs w:val="22"/>
        </w:rPr>
        <w:t>salas</w:t>
      </w:r>
      <w:r w:rsidR="0074078B">
        <w:rPr>
          <w:rFonts w:ascii="Calibri" w:hAnsi="Calibri" w:cs="Calibri"/>
          <w:sz w:val="22"/>
          <w:szCs w:val="22"/>
        </w:rPr>
        <w:t>, a saber: Sala</w:t>
      </w:r>
      <w:r w:rsidR="00335EEC" w:rsidRPr="002D24B0">
        <w:rPr>
          <w:rFonts w:ascii="Calibri" w:hAnsi="Calibri" w:cs="Calibri"/>
          <w:sz w:val="22"/>
          <w:szCs w:val="22"/>
        </w:rPr>
        <w:t xml:space="preserve"> de lo Civil, Sala del Crimen, Sala de Vizcaya y la Sala de Hijosdalgo.</w:t>
      </w:r>
    </w:p>
    <w:p w14:paraId="44EBDC6C" w14:textId="215966FA" w:rsidR="00335EEC" w:rsidRPr="002D24B0" w:rsidRDefault="00335EEC" w:rsidP="002D24B0">
      <w:pPr>
        <w:pStyle w:val="NormalWeb"/>
        <w:shd w:val="clear" w:color="auto" w:fill="FFFFFF"/>
        <w:spacing w:before="120" w:beforeAutospacing="0" w:after="0" w:afterAutospacing="0"/>
        <w:jc w:val="both"/>
        <w:rPr>
          <w:rFonts w:ascii="Calibri" w:hAnsi="Calibri" w:cs="Calibri"/>
          <w:sz w:val="22"/>
          <w:szCs w:val="22"/>
        </w:rPr>
      </w:pPr>
      <w:r w:rsidRPr="002D24B0">
        <w:rPr>
          <w:rFonts w:ascii="Calibri" w:hAnsi="Calibri" w:cs="Calibri"/>
          <w:sz w:val="22"/>
          <w:szCs w:val="22"/>
        </w:rPr>
        <w:t>La Sala de Hijosdalgo se orienta hacia el juicio de casos relacionados con la condición de hidalguía. Habitualmente, estos casos solían responder a la negación de uno de los litigantes de su condición de hidalguía, con todos los privilegios que ello conllevaba, por un tercero</w:t>
      </w:r>
    </w:p>
    <w:p w14:paraId="2773F154" w14:textId="2B96736D" w:rsidR="00335EEC" w:rsidRPr="002D24B0" w:rsidRDefault="00335EEC" w:rsidP="002D24B0">
      <w:pPr>
        <w:pStyle w:val="NormalWeb"/>
        <w:shd w:val="clear" w:color="auto" w:fill="FFFFFF"/>
        <w:spacing w:before="120" w:beforeAutospacing="0" w:after="0" w:afterAutospacing="0"/>
        <w:jc w:val="both"/>
        <w:rPr>
          <w:rFonts w:ascii="Calibri" w:hAnsi="Calibri" w:cs="Calibri"/>
          <w:sz w:val="22"/>
          <w:szCs w:val="22"/>
        </w:rPr>
      </w:pPr>
      <w:r w:rsidRPr="002D24B0">
        <w:rPr>
          <w:rFonts w:ascii="Calibri" w:hAnsi="Calibri" w:cs="Calibri"/>
          <w:sz w:val="22"/>
          <w:szCs w:val="22"/>
        </w:rPr>
        <w:t>La Sala de Vizcaya juzgaba todos los asuntos que involucrasen a personas nacidas o reconocidas como </w:t>
      </w:r>
      <w:hyperlink r:id="rId43" w:tooltip="Vizcaya" w:history="1">
        <w:r w:rsidRPr="002D24B0">
          <w:rPr>
            <w:rStyle w:val="Hipervnculo"/>
            <w:rFonts w:ascii="Calibri" w:eastAsiaTheme="majorEastAsia" w:hAnsi="Calibri" w:cs="Calibri"/>
            <w:color w:val="auto"/>
            <w:sz w:val="22"/>
            <w:szCs w:val="22"/>
            <w:u w:val="none"/>
          </w:rPr>
          <w:t>vizcaínas</w:t>
        </w:r>
      </w:hyperlink>
      <w:r w:rsidRPr="002D24B0">
        <w:rPr>
          <w:rFonts w:ascii="Calibri" w:hAnsi="Calibri" w:cs="Calibri"/>
          <w:sz w:val="22"/>
          <w:szCs w:val="22"/>
        </w:rPr>
        <w:t xml:space="preserve">, ya que esta condición, la </w:t>
      </w:r>
      <w:r w:rsidR="000A5AE5" w:rsidRPr="002D24B0">
        <w:rPr>
          <w:rFonts w:ascii="Calibri" w:hAnsi="Calibri" w:cs="Calibri"/>
          <w:sz w:val="22"/>
          <w:szCs w:val="22"/>
        </w:rPr>
        <w:t>vizcaína</w:t>
      </w:r>
      <w:r w:rsidRPr="002D24B0">
        <w:rPr>
          <w:rFonts w:ascii="Calibri" w:hAnsi="Calibri" w:cs="Calibri"/>
          <w:sz w:val="22"/>
          <w:szCs w:val="22"/>
        </w:rPr>
        <w:t>, era equiparable en privilegios a la de </w:t>
      </w:r>
      <w:hyperlink r:id="rId44" w:tooltip="Hidalgo" w:history="1">
        <w:r w:rsidRPr="002D24B0">
          <w:rPr>
            <w:rStyle w:val="Hipervnculo"/>
            <w:rFonts w:ascii="Calibri" w:eastAsiaTheme="majorEastAsia" w:hAnsi="Calibri" w:cs="Calibri"/>
            <w:color w:val="auto"/>
            <w:sz w:val="22"/>
            <w:szCs w:val="22"/>
            <w:u w:val="none"/>
          </w:rPr>
          <w:t>hidalguía</w:t>
        </w:r>
      </w:hyperlink>
      <w:r w:rsidRPr="002D24B0">
        <w:rPr>
          <w:rFonts w:ascii="Calibri" w:hAnsi="Calibri" w:cs="Calibri"/>
          <w:sz w:val="22"/>
          <w:szCs w:val="22"/>
        </w:rPr>
        <w:t> en virtud de la aplicación del </w:t>
      </w:r>
      <w:hyperlink r:id="rId45" w:tooltip="Fuero de Vizcaya (aún no redactado)" w:history="1">
        <w:r w:rsidRPr="002D24B0">
          <w:rPr>
            <w:rStyle w:val="Hipervnculo"/>
            <w:rFonts w:ascii="Calibri" w:eastAsiaTheme="majorEastAsia" w:hAnsi="Calibri" w:cs="Calibri"/>
            <w:color w:val="auto"/>
            <w:sz w:val="22"/>
            <w:szCs w:val="22"/>
            <w:u w:val="none"/>
          </w:rPr>
          <w:t>Fuero de Vizcaya</w:t>
        </w:r>
      </w:hyperlink>
      <w:r w:rsidRPr="002D24B0">
        <w:rPr>
          <w:rFonts w:ascii="Calibri" w:hAnsi="Calibri" w:cs="Calibri"/>
          <w:sz w:val="22"/>
          <w:szCs w:val="22"/>
        </w:rPr>
        <w:t>​</w:t>
      </w:r>
      <w:r w:rsidR="000A5AE5">
        <w:rPr>
          <w:rFonts w:ascii="Calibri" w:hAnsi="Calibri" w:cs="Calibri"/>
          <w:sz w:val="22"/>
          <w:szCs w:val="22"/>
        </w:rPr>
        <w:t xml:space="preserve"> (</w:t>
      </w:r>
      <w:r w:rsidR="004743BE">
        <w:rPr>
          <w:rFonts w:ascii="Calibri" w:hAnsi="Calibri" w:cs="Calibri"/>
          <w:sz w:val="22"/>
          <w:szCs w:val="22"/>
        </w:rPr>
        <w:t>4</w:t>
      </w:r>
      <w:r w:rsidR="000A5AE5">
        <w:rPr>
          <w:rFonts w:ascii="Calibri" w:hAnsi="Calibri" w:cs="Calibri"/>
          <w:sz w:val="22"/>
          <w:szCs w:val="22"/>
        </w:rPr>
        <w:t>).</w:t>
      </w:r>
    </w:p>
    <w:p w14:paraId="25FDF20B" w14:textId="1B7B3523" w:rsidR="00335EEC" w:rsidRPr="002D24B0" w:rsidRDefault="00335EEC" w:rsidP="002D24B0">
      <w:pPr>
        <w:pStyle w:val="NormalWeb"/>
        <w:shd w:val="clear" w:color="auto" w:fill="FFFFFF"/>
        <w:spacing w:before="120" w:beforeAutospacing="0" w:after="0" w:afterAutospacing="0"/>
        <w:jc w:val="both"/>
        <w:rPr>
          <w:rFonts w:ascii="Calibri" w:hAnsi="Calibri" w:cs="Calibri"/>
          <w:sz w:val="22"/>
          <w:szCs w:val="22"/>
        </w:rPr>
      </w:pPr>
      <w:r w:rsidRPr="002D24B0">
        <w:rPr>
          <w:rFonts w:ascii="Calibri" w:hAnsi="Calibri" w:cs="Calibri"/>
          <w:sz w:val="22"/>
          <w:szCs w:val="22"/>
        </w:rPr>
        <w:t xml:space="preserve">En lo que a su organización, regulación y legislación interna se refiere, la Real Audiencia y Chancillería de Valladolid se regía por el denominado como Real Acuerdo, órgano integrado por el presidente de la Chancillería, los oidores civiles y el escribano de cámara de mayor antigüedad. </w:t>
      </w:r>
    </w:p>
    <w:p w14:paraId="3ABDCC08" w14:textId="77777777" w:rsidR="00B82DA2" w:rsidRDefault="00B82DA2">
      <w:pPr>
        <w:rPr>
          <w:sz w:val="18"/>
          <w:szCs w:val="18"/>
        </w:rPr>
      </w:pPr>
    </w:p>
    <w:p w14:paraId="0E39AA4D" w14:textId="67EE4444" w:rsidR="00335EEC" w:rsidRPr="003F35A9" w:rsidRDefault="003F35A9">
      <w:pPr>
        <w:rPr>
          <w:sz w:val="18"/>
          <w:szCs w:val="18"/>
        </w:rPr>
      </w:pPr>
      <w:r w:rsidRPr="003F35A9">
        <w:rPr>
          <w:sz w:val="18"/>
          <w:szCs w:val="18"/>
        </w:rPr>
        <w:t>Notas:</w:t>
      </w:r>
    </w:p>
    <w:p w14:paraId="54CA9E94" w14:textId="66B2B7EE" w:rsidR="003F35A9" w:rsidRPr="003F35A9" w:rsidRDefault="004743BE" w:rsidP="003520CB">
      <w:pPr>
        <w:shd w:val="clear" w:color="auto" w:fill="FFFFFF"/>
        <w:spacing w:before="120" w:after="0" w:line="240" w:lineRule="auto"/>
        <w:jc w:val="both"/>
        <w:rPr>
          <w:sz w:val="18"/>
          <w:szCs w:val="18"/>
        </w:rPr>
      </w:pPr>
      <w:r>
        <w:rPr>
          <w:rFonts w:ascii="Calibri" w:eastAsia="Times New Roman" w:hAnsi="Calibri" w:cs="Calibri"/>
          <w:kern w:val="0"/>
          <w:sz w:val="18"/>
          <w:szCs w:val="18"/>
          <w:lang w:eastAsia="es-ES"/>
          <w14:ligatures w14:val="none"/>
        </w:rPr>
        <w:t xml:space="preserve">(1) </w:t>
      </w:r>
      <w:r w:rsidR="00B82DA2">
        <w:rPr>
          <w:rFonts w:ascii="Calibri" w:eastAsia="Times New Roman" w:hAnsi="Calibri" w:cs="Calibri"/>
          <w:kern w:val="0"/>
          <w:sz w:val="18"/>
          <w:szCs w:val="18"/>
          <w:lang w:eastAsia="es-ES"/>
          <w14:ligatures w14:val="none"/>
        </w:rPr>
        <w:t xml:space="preserve">Se consideraba vecino a la persona que tenía una propiedad en un lugar y en el que se pagaba sus impuestos. En caso contrario solo se tenía consideración de persona. </w:t>
      </w:r>
      <w:r>
        <w:rPr>
          <w:rFonts w:ascii="Calibri" w:eastAsia="Times New Roman" w:hAnsi="Calibri" w:cs="Calibri"/>
          <w:kern w:val="0"/>
          <w:sz w:val="18"/>
          <w:szCs w:val="18"/>
          <w:lang w:eastAsia="es-ES"/>
          <w14:ligatures w14:val="none"/>
        </w:rPr>
        <w:t>2</w:t>
      </w:r>
      <w:r w:rsidR="003520CB">
        <w:rPr>
          <w:rFonts w:ascii="Calibri" w:eastAsia="Times New Roman" w:hAnsi="Calibri" w:cs="Calibri"/>
          <w:kern w:val="0"/>
          <w:sz w:val="18"/>
          <w:szCs w:val="18"/>
          <w:lang w:eastAsia="es-ES"/>
          <w14:ligatures w14:val="none"/>
        </w:rPr>
        <w:t>) El palacio que albergó esta audiencia se conoce como el de l</w:t>
      </w:r>
      <w:r w:rsidR="00D76C7B">
        <w:rPr>
          <w:rFonts w:ascii="Calibri" w:eastAsia="Times New Roman" w:hAnsi="Calibri" w:cs="Calibri"/>
          <w:kern w:val="0"/>
          <w:sz w:val="18"/>
          <w:szCs w:val="18"/>
          <w:lang w:eastAsia="es-ES"/>
          <w14:ligatures w14:val="none"/>
        </w:rPr>
        <w:t>o</w:t>
      </w:r>
      <w:r w:rsidR="003520CB">
        <w:rPr>
          <w:rFonts w:ascii="Calibri" w:eastAsia="Times New Roman" w:hAnsi="Calibri" w:cs="Calibri"/>
          <w:kern w:val="0"/>
          <w:sz w:val="18"/>
          <w:szCs w:val="18"/>
          <w:lang w:eastAsia="es-ES"/>
          <w14:ligatures w14:val="none"/>
        </w:rPr>
        <w:t xml:space="preserve">s </w:t>
      </w:r>
      <w:r w:rsidR="00D76C7B">
        <w:rPr>
          <w:rFonts w:ascii="Calibri" w:eastAsia="Times New Roman" w:hAnsi="Calibri" w:cs="Calibri"/>
          <w:kern w:val="0"/>
          <w:sz w:val="18"/>
          <w:szCs w:val="18"/>
          <w:lang w:eastAsia="es-ES"/>
          <w14:ligatures w14:val="none"/>
        </w:rPr>
        <w:t>V</w:t>
      </w:r>
      <w:r w:rsidR="003520CB">
        <w:rPr>
          <w:rFonts w:ascii="Calibri" w:eastAsia="Times New Roman" w:hAnsi="Calibri" w:cs="Calibri"/>
          <w:kern w:val="0"/>
          <w:sz w:val="18"/>
          <w:szCs w:val="18"/>
          <w:lang w:eastAsia="es-ES"/>
          <w14:ligatures w14:val="none"/>
        </w:rPr>
        <w:t>iveros</w:t>
      </w:r>
      <w:r w:rsidR="00D76C7B">
        <w:rPr>
          <w:rFonts w:ascii="Calibri" w:eastAsia="Times New Roman" w:hAnsi="Calibri" w:cs="Calibri"/>
          <w:kern w:val="0"/>
          <w:sz w:val="18"/>
          <w:szCs w:val="18"/>
          <w:lang w:eastAsia="es-ES"/>
          <w14:ligatures w14:val="none"/>
        </w:rPr>
        <w:t>, apellido de su promotor Alfonso Pérez de Vivero, contador mayor del rey Juan II y fue construido a</w:t>
      </w:r>
      <w:r w:rsidR="003520CB">
        <w:rPr>
          <w:rFonts w:ascii="Calibri" w:eastAsia="Times New Roman" w:hAnsi="Calibri" w:cs="Calibri"/>
          <w:kern w:val="0"/>
          <w:sz w:val="18"/>
          <w:szCs w:val="18"/>
          <w:lang w:eastAsia="es-ES"/>
          <w14:ligatures w14:val="none"/>
        </w:rPr>
        <w:t xml:space="preserve"> mediados siglo XV</w:t>
      </w:r>
      <w:r w:rsidR="00D76C7B">
        <w:rPr>
          <w:rFonts w:ascii="Calibri" w:eastAsia="Times New Roman" w:hAnsi="Calibri" w:cs="Calibri"/>
          <w:kern w:val="0"/>
          <w:sz w:val="18"/>
          <w:szCs w:val="18"/>
          <w:lang w:eastAsia="es-ES"/>
          <w14:ligatures w14:val="none"/>
        </w:rPr>
        <w:t xml:space="preserve">. </w:t>
      </w:r>
      <w:r w:rsidR="003F35A9" w:rsidRPr="003F35A9">
        <w:rPr>
          <w:sz w:val="18"/>
          <w:szCs w:val="18"/>
        </w:rPr>
        <w:t>(</w:t>
      </w:r>
      <w:r>
        <w:rPr>
          <w:sz w:val="18"/>
          <w:szCs w:val="18"/>
        </w:rPr>
        <w:t>3</w:t>
      </w:r>
      <w:r w:rsidR="003F35A9" w:rsidRPr="003F35A9">
        <w:rPr>
          <w:sz w:val="18"/>
          <w:szCs w:val="18"/>
        </w:rPr>
        <w:t xml:space="preserve">) </w:t>
      </w:r>
      <w:r w:rsidR="003F35A9" w:rsidRPr="003F35A9">
        <w:rPr>
          <w:rFonts w:ascii="Calibri" w:eastAsia="Times New Roman" w:hAnsi="Calibri" w:cs="Calibri"/>
          <w:kern w:val="0"/>
          <w:sz w:val="18"/>
          <w:szCs w:val="18"/>
          <w:lang w:eastAsia="es-ES"/>
          <w14:ligatures w14:val="none"/>
        </w:rPr>
        <w:t>El edificio que albergó esta audiencia, conocido como </w:t>
      </w:r>
      <w:hyperlink r:id="rId46" w:tooltip="Palacio de la Chancillería (Granada)" w:history="1">
        <w:r w:rsidR="003F35A9" w:rsidRPr="003F35A9">
          <w:rPr>
            <w:rFonts w:ascii="Calibri" w:eastAsia="Times New Roman" w:hAnsi="Calibri" w:cs="Calibri"/>
            <w:kern w:val="0"/>
            <w:sz w:val="18"/>
            <w:szCs w:val="18"/>
            <w:lang w:eastAsia="es-ES"/>
            <w14:ligatures w14:val="none"/>
          </w:rPr>
          <w:t>palacio de la Chancillería</w:t>
        </w:r>
      </w:hyperlink>
      <w:r w:rsidR="003F35A9" w:rsidRPr="003F35A9">
        <w:rPr>
          <w:rFonts w:ascii="Calibri" w:eastAsia="Times New Roman" w:hAnsi="Calibri" w:cs="Calibri"/>
          <w:kern w:val="0"/>
          <w:sz w:val="18"/>
          <w:szCs w:val="18"/>
          <w:lang w:eastAsia="es-ES"/>
          <w14:ligatures w14:val="none"/>
        </w:rPr>
        <w:t>, está situado en </w:t>
      </w:r>
      <w:hyperlink r:id="rId47" w:tooltip="Plaza Nueva (Granada)" w:history="1">
        <w:r w:rsidR="003F35A9" w:rsidRPr="003F35A9">
          <w:rPr>
            <w:rFonts w:ascii="Calibri" w:eastAsia="Times New Roman" w:hAnsi="Calibri" w:cs="Calibri"/>
            <w:kern w:val="0"/>
            <w:sz w:val="18"/>
            <w:szCs w:val="18"/>
            <w:lang w:eastAsia="es-ES"/>
            <w14:ligatures w14:val="none"/>
          </w:rPr>
          <w:t>Plaza Nueva</w:t>
        </w:r>
      </w:hyperlink>
      <w:r w:rsidR="003F35A9" w:rsidRPr="003F35A9">
        <w:rPr>
          <w:rFonts w:ascii="Calibri" w:eastAsia="Times New Roman" w:hAnsi="Calibri" w:cs="Calibri"/>
          <w:kern w:val="0"/>
          <w:sz w:val="18"/>
          <w:szCs w:val="18"/>
          <w:lang w:eastAsia="es-ES"/>
          <w14:ligatures w14:val="none"/>
        </w:rPr>
        <w:t> y fue construido entre 1531 y 1587</w:t>
      </w:r>
      <w:r w:rsidR="00D76C7B">
        <w:rPr>
          <w:rFonts w:ascii="Calibri" w:eastAsia="Times New Roman" w:hAnsi="Calibri" w:cs="Calibri"/>
          <w:kern w:val="0"/>
          <w:sz w:val="18"/>
          <w:szCs w:val="18"/>
          <w:lang w:eastAsia="es-ES"/>
          <w14:ligatures w14:val="none"/>
        </w:rPr>
        <w:t>.</w:t>
      </w:r>
      <w:r w:rsidR="000A5AE5">
        <w:rPr>
          <w:rFonts w:ascii="Calibri" w:eastAsia="Times New Roman" w:hAnsi="Calibri" w:cs="Calibri"/>
          <w:kern w:val="0"/>
          <w:sz w:val="18"/>
          <w:szCs w:val="18"/>
          <w:lang w:eastAsia="es-ES"/>
          <w14:ligatures w14:val="none"/>
        </w:rPr>
        <w:t xml:space="preserve"> (</w:t>
      </w:r>
      <w:r>
        <w:rPr>
          <w:rFonts w:ascii="Calibri" w:eastAsia="Times New Roman" w:hAnsi="Calibri" w:cs="Calibri"/>
          <w:kern w:val="0"/>
          <w:sz w:val="18"/>
          <w:szCs w:val="18"/>
          <w:lang w:eastAsia="es-ES"/>
          <w14:ligatures w14:val="none"/>
        </w:rPr>
        <w:t>4</w:t>
      </w:r>
      <w:r w:rsidR="000A5AE5">
        <w:rPr>
          <w:rFonts w:ascii="Calibri" w:eastAsia="Times New Roman" w:hAnsi="Calibri" w:cs="Calibri"/>
          <w:kern w:val="0"/>
          <w:sz w:val="18"/>
          <w:szCs w:val="18"/>
          <w:lang w:eastAsia="es-ES"/>
          <w14:ligatures w14:val="none"/>
        </w:rPr>
        <w:t>) La Real Chan</w:t>
      </w:r>
      <w:r w:rsidR="00A4175B">
        <w:rPr>
          <w:rFonts w:ascii="Calibri" w:eastAsia="Times New Roman" w:hAnsi="Calibri" w:cs="Calibri"/>
          <w:kern w:val="0"/>
          <w:sz w:val="18"/>
          <w:szCs w:val="18"/>
          <w:lang w:eastAsia="es-ES"/>
          <w14:ligatures w14:val="none"/>
        </w:rPr>
        <w:t xml:space="preserve">cillería de Granada carecía de esta sala. </w:t>
      </w:r>
    </w:p>
    <w:p w14:paraId="387244A6" w14:textId="77777777" w:rsidR="003F35A9" w:rsidRDefault="003F35A9"/>
    <w:p w14:paraId="7C11CA51" w14:textId="77777777" w:rsidR="003F35A9" w:rsidRDefault="003F35A9"/>
    <w:sectPr w:rsidR="003F35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4D"/>
    <w:rsid w:val="000A2302"/>
    <w:rsid w:val="000A5AE5"/>
    <w:rsid w:val="00152B2A"/>
    <w:rsid w:val="001739F6"/>
    <w:rsid w:val="002D24B0"/>
    <w:rsid w:val="00335EEC"/>
    <w:rsid w:val="003520CB"/>
    <w:rsid w:val="003F35A9"/>
    <w:rsid w:val="004743BE"/>
    <w:rsid w:val="00717407"/>
    <w:rsid w:val="0074078B"/>
    <w:rsid w:val="00847E5A"/>
    <w:rsid w:val="00A4175B"/>
    <w:rsid w:val="00B6494D"/>
    <w:rsid w:val="00B82DA2"/>
    <w:rsid w:val="00CE4A50"/>
    <w:rsid w:val="00D20FB9"/>
    <w:rsid w:val="00D76C7B"/>
    <w:rsid w:val="00EB5346"/>
    <w:rsid w:val="00EC7A8F"/>
    <w:rsid w:val="00F850B0"/>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F8C9"/>
  <w15:chartTrackingRefBased/>
  <w15:docId w15:val="{B7A3CA19-67E7-4403-AB1C-27A1C6CA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4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64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649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49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49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49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49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49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49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9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649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649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49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49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49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49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49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494D"/>
    <w:rPr>
      <w:rFonts w:eastAsiaTheme="majorEastAsia" w:cstheme="majorBidi"/>
      <w:color w:val="272727" w:themeColor="text1" w:themeTint="D8"/>
    </w:rPr>
  </w:style>
  <w:style w:type="paragraph" w:styleId="Ttulo">
    <w:name w:val="Title"/>
    <w:basedOn w:val="Normal"/>
    <w:next w:val="Normal"/>
    <w:link w:val="TtuloCar"/>
    <w:uiPriority w:val="10"/>
    <w:qFormat/>
    <w:rsid w:val="00B64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49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49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49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494D"/>
    <w:pPr>
      <w:spacing w:before="160"/>
      <w:jc w:val="center"/>
    </w:pPr>
    <w:rPr>
      <w:i/>
      <w:iCs/>
      <w:color w:val="404040" w:themeColor="text1" w:themeTint="BF"/>
    </w:rPr>
  </w:style>
  <w:style w:type="character" w:customStyle="1" w:styleId="CitaCar">
    <w:name w:val="Cita Car"/>
    <w:basedOn w:val="Fuentedeprrafopredeter"/>
    <w:link w:val="Cita"/>
    <w:uiPriority w:val="29"/>
    <w:rsid w:val="00B6494D"/>
    <w:rPr>
      <w:i/>
      <w:iCs/>
      <w:color w:val="404040" w:themeColor="text1" w:themeTint="BF"/>
    </w:rPr>
  </w:style>
  <w:style w:type="paragraph" w:styleId="Prrafodelista">
    <w:name w:val="List Paragraph"/>
    <w:basedOn w:val="Normal"/>
    <w:uiPriority w:val="34"/>
    <w:qFormat/>
    <w:rsid w:val="00B6494D"/>
    <w:pPr>
      <w:ind w:left="720"/>
      <w:contextualSpacing/>
    </w:pPr>
  </w:style>
  <w:style w:type="character" w:styleId="nfasisintenso">
    <w:name w:val="Intense Emphasis"/>
    <w:basedOn w:val="Fuentedeprrafopredeter"/>
    <w:uiPriority w:val="21"/>
    <w:qFormat/>
    <w:rsid w:val="00B6494D"/>
    <w:rPr>
      <w:i/>
      <w:iCs/>
      <w:color w:val="0F4761" w:themeColor="accent1" w:themeShade="BF"/>
    </w:rPr>
  </w:style>
  <w:style w:type="paragraph" w:styleId="Citadestacada">
    <w:name w:val="Intense Quote"/>
    <w:basedOn w:val="Normal"/>
    <w:next w:val="Normal"/>
    <w:link w:val="CitadestacadaCar"/>
    <w:uiPriority w:val="30"/>
    <w:qFormat/>
    <w:rsid w:val="00B64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494D"/>
    <w:rPr>
      <w:i/>
      <w:iCs/>
      <w:color w:val="0F4761" w:themeColor="accent1" w:themeShade="BF"/>
    </w:rPr>
  </w:style>
  <w:style w:type="character" w:styleId="Referenciaintensa">
    <w:name w:val="Intense Reference"/>
    <w:basedOn w:val="Fuentedeprrafopredeter"/>
    <w:uiPriority w:val="32"/>
    <w:qFormat/>
    <w:rsid w:val="00B6494D"/>
    <w:rPr>
      <w:b/>
      <w:bCs/>
      <w:smallCaps/>
      <w:color w:val="0F4761" w:themeColor="accent1" w:themeShade="BF"/>
      <w:spacing w:val="5"/>
    </w:rPr>
  </w:style>
  <w:style w:type="paragraph" w:styleId="NormalWeb">
    <w:name w:val="Normal (Web)"/>
    <w:basedOn w:val="Normal"/>
    <w:uiPriority w:val="99"/>
    <w:unhideWhenUsed/>
    <w:rsid w:val="00D20FB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D20FB9"/>
    <w:rPr>
      <w:color w:val="0000FF"/>
      <w:u w:val="single"/>
    </w:rPr>
  </w:style>
  <w:style w:type="character" w:customStyle="1" w:styleId="mw-headline">
    <w:name w:val="mw-headline"/>
    <w:basedOn w:val="Fuentedeprrafopredeter"/>
    <w:rsid w:val="00D20FB9"/>
  </w:style>
  <w:style w:type="character" w:customStyle="1" w:styleId="mw-editsection">
    <w:name w:val="mw-editsection"/>
    <w:basedOn w:val="Fuentedeprrafopredeter"/>
    <w:rsid w:val="00D20FB9"/>
  </w:style>
  <w:style w:type="character" w:customStyle="1" w:styleId="mw-editsection-bracket">
    <w:name w:val="mw-editsection-bracket"/>
    <w:basedOn w:val="Fuentedeprrafopredeter"/>
    <w:rsid w:val="00D20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58705">
      <w:bodyDiv w:val="1"/>
      <w:marLeft w:val="0"/>
      <w:marRight w:val="0"/>
      <w:marTop w:val="0"/>
      <w:marBottom w:val="0"/>
      <w:divBdr>
        <w:top w:val="none" w:sz="0" w:space="0" w:color="auto"/>
        <w:left w:val="none" w:sz="0" w:space="0" w:color="auto"/>
        <w:bottom w:val="none" w:sz="0" w:space="0" w:color="auto"/>
        <w:right w:val="none" w:sz="0" w:space="0" w:color="auto"/>
      </w:divBdr>
    </w:div>
    <w:div w:id="750852268">
      <w:bodyDiv w:val="1"/>
      <w:marLeft w:val="0"/>
      <w:marRight w:val="0"/>
      <w:marTop w:val="0"/>
      <w:marBottom w:val="0"/>
      <w:divBdr>
        <w:top w:val="none" w:sz="0" w:space="0" w:color="auto"/>
        <w:left w:val="none" w:sz="0" w:space="0" w:color="auto"/>
        <w:bottom w:val="none" w:sz="0" w:space="0" w:color="auto"/>
        <w:right w:val="none" w:sz="0" w:space="0" w:color="auto"/>
      </w:divBdr>
    </w:div>
    <w:div w:id="1767578403">
      <w:bodyDiv w:val="1"/>
      <w:marLeft w:val="0"/>
      <w:marRight w:val="0"/>
      <w:marTop w:val="0"/>
      <w:marBottom w:val="0"/>
      <w:divBdr>
        <w:top w:val="none" w:sz="0" w:space="0" w:color="auto"/>
        <w:left w:val="none" w:sz="0" w:space="0" w:color="auto"/>
        <w:bottom w:val="none" w:sz="0" w:space="0" w:color="auto"/>
        <w:right w:val="none" w:sz="0" w:space="0" w:color="auto"/>
      </w:divBdr>
      <w:divsChild>
        <w:div w:id="1245140347">
          <w:marLeft w:val="0"/>
          <w:marRight w:val="0"/>
          <w:marTop w:val="0"/>
          <w:marBottom w:val="120"/>
          <w:divBdr>
            <w:top w:val="none" w:sz="0" w:space="0" w:color="auto"/>
            <w:left w:val="none" w:sz="0" w:space="0" w:color="auto"/>
            <w:bottom w:val="none" w:sz="0" w:space="0" w:color="auto"/>
            <w:right w:val="none" w:sz="0" w:space="0" w:color="auto"/>
          </w:divBdr>
          <w:divsChild>
            <w:div w:id="1114787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nrique_III_de_Castilla" TargetMode="External"/><Relationship Id="rId18" Type="http://schemas.openxmlformats.org/officeDocument/2006/relationships/hyperlink" Target="https://es.wikipedia.org/wiki/Isabel_I_de_Castilla" TargetMode="External"/><Relationship Id="rId26" Type="http://schemas.openxmlformats.org/officeDocument/2006/relationships/hyperlink" Target="https://es.wikipedia.org/wiki/Sevilla" TargetMode="External"/><Relationship Id="rId39" Type="http://schemas.openxmlformats.org/officeDocument/2006/relationships/hyperlink" Target="https://es.wikipedia.org/wiki/Provincia_de_Le%C3%B3n" TargetMode="External"/><Relationship Id="rId21" Type="http://schemas.openxmlformats.org/officeDocument/2006/relationships/hyperlink" Target="https://es.wikipedia.org/wiki/Granada" TargetMode="External"/><Relationship Id="rId34" Type="http://schemas.openxmlformats.org/officeDocument/2006/relationships/hyperlink" Target="https://es.wikipedia.org/wiki/Tribunal_Supremo_de_Espa%C3%B1a" TargetMode="External"/><Relationship Id="rId42" Type="http://schemas.openxmlformats.org/officeDocument/2006/relationships/hyperlink" Target="https://es.wikipedia.org/wiki/Tribunal_de_apelaci%C3%B3n" TargetMode="External"/><Relationship Id="rId47" Type="http://schemas.openxmlformats.org/officeDocument/2006/relationships/hyperlink" Target="https://es.wikipedia.org/wiki/Plaza_Nueva_(Granada)" TargetMode="External"/><Relationship Id="rId7" Type="http://schemas.openxmlformats.org/officeDocument/2006/relationships/hyperlink" Target="https://es.wikipedia.org/wiki/Formulario" TargetMode="External"/><Relationship Id="rId2" Type="http://schemas.openxmlformats.org/officeDocument/2006/relationships/settings" Target="settings.xml"/><Relationship Id="rId16" Type="http://schemas.openxmlformats.org/officeDocument/2006/relationships/hyperlink" Target="https://es.wikipedia.org/wiki/Reyes_Cat%C3%B3licos" TargetMode="External"/><Relationship Id="rId29" Type="http://schemas.openxmlformats.org/officeDocument/2006/relationships/hyperlink" Target="https://es.wikipedia.org/wiki/Guerra_de_la_Independencia_Espa%C3%B1ola" TargetMode="External"/><Relationship Id="rId11" Type="http://schemas.openxmlformats.org/officeDocument/2006/relationships/hyperlink" Target="https://es.wikipedia.org/wiki/Real_Audiencia" TargetMode="External"/><Relationship Id="rId24" Type="http://schemas.openxmlformats.org/officeDocument/2006/relationships/hyperlink" Target="https://es.wikipedia.org/wiki/Real_Audiencia_de_Canarias" TargetMode="External"/><Relationship Id="rId32" Type="http://schemas.openxmlformats.org/officeDocument/2006/relationships/hyperlink" Target="https://es.wikipedia.org/wiki/Liberalismo" TargetMode="External"/><Relationship Id="rId37" Type="http://schemas.openxmlformats.org/officeDocument/2006/relationships/hyperlink" Target="https://es.wikipedia.org/wiki/Provincia_de_Valladolid" TargetMode="External"/><Relationship Id="rId40" Type="http://schemas.openxmlformats.org/officeDocument/2006/relationships/hyperlink" Target="https://es.wikipedia.org/wiki/Provincia_de_Zamora" TargetMode="External"/><Relationship Id="rId45" Type="http://schemas.openxmlformats.org/officeDocument/2006/relationships/hyperlink" Target="https://es.wikipedia.org/w/index.php?title=Fuero_de_Vizcaya&amp;action=edit&amp;redlink=1" TargetMode="External"/><Relationship Id="rId5" Type="http://schemas.openxmlformats.org/officeDocument/2006/relationships/hyperlink" Target="https://es.wikipedia.org/wiki/P%C3%A1rroco" TargetMode="External"/><Relationship Id="rId15" Type="http://schemas.openxmlformats.org/officeDocument/2006/relationships/hyperlink" Target="https://es.wikipedia.org/wiki/Real_Audiencia_y_Chanciller%C3%ADa_de_Valladolid" TargetMode="External"/><Relationship Id="rId23" Type="http://schemas.openxmlformats.org/officeDocument/2006/relationships/hyperlink" Target="https://es.wikipedia.org/wiki/Real_Audiencia_de_Galicia" TargetMode="External"/><Relationship Id="rId28" Type="http://schemas.openxmlformats.org/officeDocument/2006/relationships/hyperlink" Target="https://es.wikipedia.org/wiki/Sello_(cu%C3%B1o)" TargetMode="External"/><Relationship Id="rId36" Type="http://schemas.openxmlformats.org/officeDocument/2006/relationships/hyperlink" Target="https://es.wikipedia.org/w/index.php?title=Audiencia_Territorial_de_Valladolid&amp;action=edit&amp;redlink=1" TargetMode="External"/><Relationship Id="rId49" Type="http://schemas.openxmlformats.org/officeDocument/2006/relationships/theme" Target="theme/theme1.xml"/><Relationship Id="rId10" Type="http://schemas.openxmlformats.org/officeDocument/2006/relationships/hyperlink" Target="https://es.wikipedia.org/wiki/Enrique_II_de_Castilla" TargetMode="External"/><Relationship Id="rId19" Type="http://schemas.openxmlformats.org/officeDocument/2006/relationships/hyperlink" Target="https://es.wikipedia.org/wiki/R%C3%ADo_Tajo" TargetMode="External"/><Relationship Id="rId31" Type="http://schemas.openxmlformats.org/officeDocument/2006/relationships/hyperlink" Target="https://es.wikipedia.org/wiki/Fernando_VII_de_Espa%C3%B1a" TargetMode="External"/><Relationship Id="rId44" Type="http://schemas.openxmlformats.org/officeDocument/2006/relationships/hyperlink" Target="https://es.wikipedia.org/wiki/Hidalgo" TargetMode="External"/><Relationship Id="rId4" Type="http://schemas.openxmlformats.org/officeDocument/2006/relationships/hyperlink" Target="https://es.wikipedia.org/wiki/Obispo" TargetMode="External"/><Relationship Id="rId9" Type="http://schemas.openxmlformats.org/officeDocument/2006/relationships/hyperlink" Target="https://es.wikipedia.org/w/index.php?title=Cortes_de_Toro_de_1371&amp;action=edit&amp;redlink=1" TargetMode="External"/><Relationship Id="rId14" Type="http://schemas.openxmlformats.org/officeDocument/2006/relationships/hyperlink" Target="https://es.wikipedia.org/wiki/Juan_II_de_Castilla" TargetMode="External"/><Relationship Id="rId22" Type="http://schemas.openxmlformats.org/officeDocument/2006/relationships/hyperlink" Target="https://es.wikipedia.org/wiki/Real_Chanciller%C3%ADa_de_Granada" TargetMode="External"/><Relationship Id="rId27" Type="http://schemas.openxmlformats.org/officeDocument/2006/relationships/hyperlink" Target="https://es.wikipedia.org/wiki/Apelaci%C3%B3n" TargetMode="External"/><Relationship Id="rId30" Type="http://schemas.openxmlformats.org/officeDocument/2006/relationships/hyperlink" Target="https://es.wikipedia.org/wiki/Constituci%C3%B3n_Espa%C3%B1ola_de_1812" TargetMode="External"/><Relationship Id="rId35" Type="http://schemas.openxmlformats.org/officeDocument/2006/relationships/hyperlink" Target="https://es.wikipedia.org/wiki/Consejo_Real_de_Espa%C3%B1a_e_Indias" TargetMode="External"/><Relationship Id="rId43" Type="http://schemas.openxmlformats.org/officeDocument/2006/relationships/hyperlink" Target="https://es.wikipedia.org/wiki/Vizcaya" TargetMode="External"/><Relationship Id="rId48" Type="http://schemas.openxmlformats.org/officeDocument/2006/relationships/fontTable" Target="fontTable.xml"/><Relationship Id="rId8" Type="http://schemas.openxmlformats.org/officeDocument/2006/relationships/hyperlink" Target="https://es.wikipedia.org/wiki/%C3%93rdenes_Militares" TargetMode="External"/><Relationship Id="rId3" Type="http://schemas.openxmlformats.org/officeDocument/2006/relationships/webSettings" Target="webSettings.xml"/><Relationship Id="rId12" Type="http://schemas.openxmlformats.org/officeDocument/2006/relationships/hyperlink" Target="https://es.wikipedia.org/wiki/Canciller" TargetMode="External"/><Relationship Id="rId17" Type="http://schemas.openxmlformats.org/officeDocument/2006/relationships/hyperlink" Target="https://es.wikipedia.org/wiki/Archivo_de_la_Real_Chanciller%C3%ADa_de_Valladolid" TargetMode="External"/><Relationship Id="rId25" Type="http://schemas.openxmlformats.org/officeDocument/2006/relationships/hyperlink" Target="https://es.wikipedia.org/wiki/Real_Audiencia_de_los_Grados_de_Sevilla" TargetMode="External"/><Relationship Id="rId33" Type="http://schemas.openxmlformats.org/officeDocument/2006/relationships/hyperlink" Target="https://es.wikipedia.org/wiki/Decretos_de_Nueva_Planta" TargetMode="External"/><Relationship Id="rId38" Type="http://schemas.openxmlformats.org/officeDocument/2006/relationships/hyperlink" Target="https://es.wikipedia.org/wiki/Provincia_de_Palencia" TargetMode="External"/><Relationship Id="rId46" Type="http://schemas.openxmlformats.org/officeDocument/2006/relationships/hyperlink" Target="https://es.wikipedia.org/wiki/Palacio_de_la_Chanciller%C3%ADa_(Granada)" TargetMode="External"/><Relationship Id="rId20" Type="http://schemas.openxmlformats.org/officeDocument/2006/relationships/hyperlink" Target="https://es.wikipedia.org/wiki/Real_Audiencia_y_Chanciller%C3%ADa_de_Ciudad_Real" TargetMode="External"/><Relationship Id="rId41" Type="http://schemas.openxmlformats.org/officeDocument/2006/relationships/hyperlink" Target="https://es.wikipedia.org/wiki/Provincia_de_Salamanca" TargetMode="External"/><Relationship Id="rId1" Type="http://schemas.openxmlformats.org/officeDocument/2006/relationships/styles" Target="styles.xml"/><Relationship Id="rId6" Type="http://schemas.openxmlformats.org/officeDocument/2006/relationships/hyperlink" Target="https://es.wikipedia.org/wiki/Di%C3%B3ce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1820</Words>
  <Characters>10014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6</cp:revision>
  <dcterms:created xsi:type="dcterms:W3CDTF">2024-03-09T11:23:00Z</dcterms:created>
  <dcterms:modified xsi:type="dcterms:W3CDTF">2024-03-11T00:24:00Z</dcterms:modified>
</cp:coreProperties>
</file>