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justificación-de-la-solución"/>
    <w:p>
      <w:pPr>
        <w:pStyle w:val="Heading1"/>
      </w:pPr>
      <w:r>
        <w:t xml:space="preserve">3. Justificación de la Solución</w:t>
      </w:r>
    </w:p>
    <w:bookmarkStart w:id="9" w:name="introducción"/>
    <w:p>
      <w:pPr>
        <w:pStyle w:val="Heading2"/>
      </w:pPr>
      <w:r>
        <w:t xml:space="preserve">3.1 Introducción</w:t>
      </w:r>
    </w:p>
    <w:p>
      <w:pPr>
        <w:pStyle w:val="FirstParagraph"/>
      </w:pPr>
      <w:r>
        <w:t xml:space="preserve">La solución propuesta para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 </w:t>
      </w:r>
      <w:r>
        <w:t xml:space="preserve">fue diseñada considerando el alcance funcional de la prueba técnica, buscando un equilibrio entre simplicidad, mantenibilidad, escalabilidad y facilidad de despliegue.</w:t>
      </w:r>
    </w:p>
    <w:p>
      <w:pPr>
        <w:pStyle w:val="BodyText"/>
      </w:pPr>
      <w:r>
        <w:t xml:space="preserve">La selección tecnológica y arquitectónica se realizó considerando las características del sistema, el volumen esperado de información, la necesidad de implementar operaciones CRUD y la separación entre frontend, backend y persistencia.</w:t>
      </w:r>
    </w:p>
    <w:p>
      <w:pPr>
        <w:pStyle w:val="BodyText"/>
      </w:pPr>
      <w:r>
        <w:t xml:space="preserve">La solución está compuesta por: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+ Spring Boot</w:t>
      </w:r>
      <w:r>
        <w:t xml:space="preserve"> </w:t>
      </w:r>
      <w:r>
        <w:t xml:space="preserve">para el backend.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+ TypeScript</w:t>
      </w:r>
      <w:r>
        <w:t xml:space="preserve"> </w:t>
      </w:r>
      <w:r>
        <w:t xml:space="preserve">para el frontend.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para la persistencia.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Spring Data JPA + Hibernate</w:t>
      </w:r>
      <w:r>
        <w:t xml:space="preserve"> </w:t>
      </w:r>
      <w:r>
        <w:t xml:space="preserve">para el acceso a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OpenAPI</w:t>
      </w:r>
      <w:r>
        <w:t xml:space="preserve"> </w:t>
      </w:r>
      <w:r>
        <w:t xml:space="preserve">para la documentación de la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Netlify</w:t>
      </w:r>
      <w:r>
        <w:t xml:space="preserve"> </w:t>
      </w:r>
      <w:r>
        <w:t xml:space="preserve">para el despliegue del frontend.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para el despliegue del backend y PostgreSQL.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para el control de versiones.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justificación-de-java-y-spring-boot"/>
    <w:p>
      <w:pPr>
        <w:pStyle w:val="Heading1"/>
      </w:pPr>
      <w:r>
        <w:t xml:space="preserve">3.2 Justificación de Java y Spring Boot</w:t>
      </w:r>
    </w:p>
    <w:p>
      <w:pPr>
        <w:pStyle w:val="FirstParagraph"/>
      </w:pPr>
      <w:r>
        <w:t xml:space="preserve">Se seleccionó</w:t>
      </w:r>
      <w:r>
        <w:t xml:space="preserve"> </w:t>
      </w:r>
      <w:r>
        <w:rPr>
          <w:b/>
          <w:bCs/>
        </w:rPr>
        <w:t xml:space="preserve">Java con Spring Boot</w:t>
      </w:r>
      <w:r>
        <w:t xml:space="preserve"> </w:t>
      </w:r>
      <w:r>
        <w:t xml:space="preserve">para desarrollar el backend debido a que proporciona un conjunto de herramientas adecuado para la construcción de APIs REST y aplicaciones empresariales.</w:t>
      </w:r>
    </w:p>
    <w:p>
      <w:pPr>
        <w:pStyle w:val="BodyText"/>
      </w:pPr>
      <w:r>
        <w:t xml:space="preserve">Spring Boot permite configurar y estructurar la aplicación de forma relativamente sencilla, además de proporcionar integración con tecnologías utilizadas en la solución, como:</w:t>
      </w:r>
    </w:p>
    <w:p>
      <w:pPr>
        <w:pStyle w:val="Compact"/>
        <w:numPr>
          <w:ilvl w:val="0"/>
          <w:numId w:val="1002"/>
        </w:numPr>
      </w:pPr>
      <w:r>
        <w:t xml:space="preserve">Spring Data JPA.</w:t>
      </w:r>
    </w:p>
    <w:p>
      <w:pPr>
        <w:pStyle w:val="Compact"/>
        <w:numPr>
          <w:ilvl w:val="0"/>
          <w:numId w:val="1002"/>
        </w:numPr>
      </w:pPr>
      <w:r>
        <w:t xml:space="preserve">Hibernate.</w:t>
      </w:r>
    </w:p>
    <w:p>
      <w:pPr>
        <w:pStyle w:val="Compact"/>
        <w:numPr>
          <w:ilvl w:val="0"/>
          <w:numId w:val="1002"/>
        </w:numPr>
      </w:pPr>
      <w:r>
        <w:t xml:space="preserve">Bean Validation.</w:t>
      </w:r>
    </w:p>
    <w:p>
      <w:pPr>
        <w:pStyle w:val="Compact"/>
        <w:numPr>
          <w:ilvl w:val="0"/>
          <w:numId w:val="1002"/>
        </w:numPr>
      </w:pPr>
      <w:r>
        <w:t xml:space="preserve">OpenAPI.</w:t>
      </w:r>
    </w:p>
    <w:p>
      <w:pPr>
        <w:pStyle w:val="Compact"/>
        <w:numPr>
          <w:ilvl w:val="0"/>
          <w:numId w:val="1002"/>
        </w:numPr>
      </w:pPr>
      <w:r>
        <w:t xml:space="preserve">Gestión de excepciones.</w:t>
      </w:r>
    </w:p>
    <w:p>
      <w:pPr>
        <w:pStyle w:val="Compact"/>
        <w:numPr>
          <w:ilvl w:val="0"/>
          <w:numId w:val="1002"/>
        </w:numPr>
      </w:pPr>
      <w:r>
        <w:t xml:space="preserve">Configuración mediante propiedades y variables de entorno.</w:t>
      </w:r>
    </w:p>
    <w:p>
      <w:pPr>
        <w:pStyle w:val="FirstParagraph"/>
      </w:pPr>
      <w:r>
        <w:t xml:space="preserve">La utilización de Spring Boot también permite mantener una separación clara entre las diferentes responsabilidades de la aplicación mediante controllers, services y repositories.</w:t>
      </w:r>
    </w:p>
    <w:p>
      <w:pPr>
        <w:pStyle w:val="BodyText"/>
      </w:pPr>
      <w:r>
        <w:t xml:space="preserve">Para una aplicación CRUD como la propuesta, esta estructura proporciona suficiente robustez sin introducir complejidad innecesaria.</w:t>
      </w:r>
    </w:p>
    <w:p>
      <w:r>
        <w:pict>
          <v:rect style="width:0;height:1.5pt" o:hralign="center" o:hrstd="t" o:hr="t"/>
        </w:pict>
      </w:r>
    </w:p>
    <w:bookmarkEnd w:id="11"/>
    <w:bookmarkStart w:id="12" w:name="Xd8741279499458ba61f7f3371da3667215de814"/>
    <w:p>
      <w:pPr>
        <w:pStyle w:val="Heading1"/>
      </w:pPr>
      <w:r>
        <w:t xml:space="preserve">3.3 Justificación de la arquitectura por capas</w:t>
      </w:r>
    </w:p>
    <w:p>
      <w:pPr>
        <w:pStyle w:val="FirstParagraph"/>
      </w:pPr>
      <w:r>
        <w:t xml:space="preserve">Se implementó una arquitectura por capas para separar las responsabilidades de los diferentes componentes del backend.</w:t>
      </w:r>
    </w:p>
    <w:p>
      <w:pPr>
        <w:pStyle w:val="BodyText"/>
      </w:pPr>
      <w:r>
        <w:t xml:space="preserve">La estructura principal es:</w:t>
      </w:r>
    </w:p>
    <w:p>
      <w:pPr>
        <w:pStyle w:val="BodyText"/>
      </w:pPr>
      <w:r>
        <w:rPr>
          <w:rStyle w:val="VerbatimChar"/>
        </w:rPr>
        <w:t xml:space="preserve">text id="v2g1za" Controller      ↓ Service      ↓ Repository      ↓ Database</w:t>
      </w:r>
    </w:p>
    <w:p>
      <w:pPr>
        <w:pStyle w:val="BodyText"/>
      </w:pPr>
      <w:r>
        <w:t xml:space="preserve">Los DTOs y mappers complementan esta estructura:</w:t>
      </w:r>
    </w:p>
    <w:p>
      <w:pPr>
        <w:pStyle w:val="BodyText"/>
      </w:pPr>
      <w:r>
        <w:rPr>
          <w:rStyle w:val="VerbatimChar"/>
        </w:rPr>
        <w:t xml:space="preserve">text id="8jsgf4" HTTP Request      ↓ Request DTO      ↓ Controller      ↓ Service      ↓ Mapper      ↓ Entity      ↓ Repository      ↓ Database</w:t>
      </w:r>
    </w:p>
    <w:p>
      <w:pPr>
        <w:pStyle w:val="BodyText"/>
      </w:pPr>
      <w:r>
        <w:t xml:space="preserve">Esta separación proporciona las siguientes ventajas:</w:t>
      </w:r>
    </w:p>
    <w:p>
      <w:pPr>
        <w:pStyle w:val="Compact"/>
        <w:numPr>
          <w:ilvl w:val="0"/>
          <w:numId w:val="1003"/>
        </w:numPr>
      </w:pPr>
      <w:r>
        <w:t xml:space="preserve">Facilita el mantenimiento.</w:t>
      </w:r>
    </w:p>
    <w:p>
      <w:pPr>
        <w:pStyle w:val="Compact"/>
        <w:numPr>
          <w:ilvl w:val="0"/>
          <w:numId w:val="1003"/>
        </w:numPr>
      </w:pPr>
      <w:r>
        <w:t xml:space="preserve">Reduce el acoplamiento entre componentes.</w:t>
      </w:r>
    </w:p>
    <w:p>
      <w:pPr>
        <w:pStyle w:val="Compact"/>
        <w:numPr>
          <w:ilvl w:val="0"/>
          <w:numId w:val="1003"/>
        </w:numPr>
      </w:pPr>
      <w:r>
        <w:t xml:space="preserve">Permite realizar pruebas de manera independiente.</w:t>
      </w:r>
    </w:p>
    <w:p>
      <w:pPr>
        <w:pStyle w:val="Compact"/>
        <w:numPr>
          <w:ilvl w:val="0"/>
          <w:numId w:val="1003"/>
        </w:numPr>
      </w:pPr>
      <w:r>
        <w:t xml:space="preserve">Centraliza la lógica de negocio.</w:t>
      </w:r>
    </w:p>
    <w:p>
      <w:pPr>
        <w:pStyle w:val="Compact"/>
        <w:numPr>
          <w:ilvl w:val="0"/>
          <w:numId w:val="1003"/>
        </w:numPr>
      </w:pPr>
      <w:r>
        <w:t xml:space="preserve">Facilita futuras modificaciones.</w:t>
      </w:r>
    </w:p>
    <w:p>
      <w:pPr>
        <w:pStyle w:val="Compact"/>
        <w:numPr>
          <w:ilvl w:val="0"/>
          <w:numId w:val="1003"/>
        </w:numPr>
      </w:pPr>
      <w:r>
        <w:t xml:space="preserve">Evita colocar lógica de negocio directamente en los controllers.</w:t>
      </w:r>
    </w:p>
    <w:p>
      <w:pPr>
        <w:pStyle w:val="FirstParagraph"/>
      </w:pPr>
      <w:r>
        <w:t xml:space="preserve">La arquitectura es adecuada para el tamaño y alcance del proyecto sin requerir una arquitectura distribuida o basada en microservicios.</w:t>
      </w:r>
    </w:p>
    <w:p>
      <w:r>
        <w:pict>
          <v:rect style="width:0;height:1.5pt" o:hralign="center" o:hrstd="t" o:hr="t"/>
        </w:pict>
      </w:r>
    </w:p>
    <w:bookmarkEnd w:id="12"/>
    <w:bookmarkStart w:id="13" w:name="justificación-del-uso-de-dtos"/>
    <w:p>
      <w:pPr>
        <w:pStyle w:val="Heading1"/>
      </w:pPr>
      <w:r>
        <w:t xml:space="preserve">3.4 Justificación del uso de DTOs</w:t>
      </w:r>
    </w:p>
    <w:p>
      <w:pPr>
        <w:pStyle w:val="FirstParagraph"/>
      </w:pPr>
      <w:r>
        <w:t xml:space="preserve">Se utilizaron</w:t>
      </w:r>
      <w:r>
        <w:t xml:space="preserve"> </w:t>
      </w:r>
      <w:r>
        <w:rPr>
          <w:b/>
          <w:bCs/>
        </w:rPr>
        <w:t xml:space="preserve">Data Transfer Objects (DTOs)</w:t>
      </w:r>
      <w:r>
        <w:t xml:space="preserve"> </w:t>
      </w:r>
      <w:r>
        <w:t xml:space="preserve">para definir explícitamente los datos que entran y salen de la API.</w:t>
      </w:r>
    </w:p>
    <w:p>
      <w:pPr>
        <w:pStyle w:val="BodyText"/>
      </w:pPr>
      <w:r>
        <w:t xml:space="preserve">Se separaron los DTOs en dos grupos:</w:t>
      </w:r>
    </w:p>
    <w:p>
      <w:pPr>
        <w:pStyle w:val="BodyText"/>
      </w:pPr>
      <w:r>
        <w:t xml:space="preserve">```text id=</w:t>
      </w:r>
      <w:r>
        <w:t xml:space="preserve">“77m0cw”</w:t>
      </w:r>
      <w:r>
        <w:t xml:space="preserve"> </w:t>
      </w:r>
      <w:r>
        <w:t xml:space="preserve">Request</w:t>
      </w:r>
      <w:r>
        <w:t xml:space="preserve"> </w:t>
      </w:r>
      <w:r>
        <w:t xml:space="preserve">├── CreateBookRequest</w:t>
      </w:r>
      <w:r>
        <w:t xml:space="preserve"> </w:t>
      </w:r>
      <w:r>
        <w:t xml:space="preserve">├── UpdateBookRequest</w:t>
      </w:r>
      <w:r>
        <w:t xml:space="preserve"> </w:t>
      </w:r>
      <w:r>
        <w:t xml:space="preserve">├── CreateAuthorRequest</w:t>
      </w:r>
      <w:r>
        <w:t xml:space="preserve"> </w:t>
      </w:r>
      <w:r>
        <w:t xml:space="preserve">├── UpdateAuthorRequest</w:t>
      </w:r>
      <w:r>
        <w:t xml:space="preserve"> </w:t>
      </w:r>
      <w:r>
        <w:t xml:space="preserve">├── CreateGenreRequest</w:t>
      </w:r>
      <w:r>
        <w:t xml:space="preserve"> </w:t>
      </w:r>
      <w:r>
        <w:t xml:space="preserve">├── UpdateGenreRequest</w:t>
      </w:r>
      <w:r>
        <w:t xml:space="preserve"> </w:t>
      </w:r>
      <w:r>
        <w:t xml:space="preserve">├── CreatePublisherRequest</w:t>
      </w:r>
      <w:r>
        <w:t xml:space="preserve"> </w:t>
      </w:r>
      <w:r>
        <w:t xml:space="preserve">└── UpdatePublisherRequest</w:t>
      </w:r>
    </w:p>
    <w:p>
      <w:pPr>
        <w:pStyle w:val="BodyText"/>
      </w:pPr>
      <w:r>
        <w:t xml:space="preserve">Response</w:t>
      </w:r>
      <w:r>
        <w:t xml:space="preserve"> </w:t>
      </w:r>
      <w:r>
        <w:t xml:space="preserve">├── BookResponse</w:t>
      </w:r>
      <w:r>
        <w:t xml:space="preserve"> </w:t>
      </w:r>
      <w:r>
        <w:t xml:space="preserve">├── BookDetailResponse</w:t>
      </w:r>
      <w:r>
        <w:t xml:space="preserve"> </w:t>
      </w:r>
      <w:r>
        <w:t xml:space="preserve">├── AuthorResponse</w:t>
      </w:r>
      <w:r>
        <w:t xml:space="preserve"> </w:t>
      </w:r>
      <w:r>
        <w:t xml:space="preserve">├── GenreResponse</w:t>
      </w:r>
      <w:r>
        <w:t xml:space="preserve"> </w:t>
      </w:r>
      <w:r>
        <w:t xml:space="preserve">├── PublisherResponse</w:t>
      </w:r>
      <w:r>
        <w:t xml:space="preserve"> </w:t>
      </w:r>
      <w:r>
        <w:t xml:space="preserve">└── ApiErrorResponse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Esta decisión evita exponer directamente las entidades JPA a los consumidores de la API.</w:t>
      </w:r>
      <w:r>
        <w:br/>
      </w:r>
      <w:r>
        <w:br/>
      </w:r>
      <w:r>
        <w:rPr>
          <w:rStyle w:val="VerbatimChar"/>
        </w:rPr>
        <w:t xml:space="preserve">También permite que el modelo interno de persistencia evolucione independientemente del contrato de la API.</w:t>
      </w:r>
      <w:r>
        <w:br/>
      </w:r>
      <w:r>
        <w:br/>
      </w:r>
      <w:r>
        <w:rPr>
          <w:rStyle w:val="VerbatimChar"/>
        </w:rPr>
        <w:t xml:space="preserve">Por ejemplo, una entidad `Book` puede contener relaciones y detalles necesarios para la persistencia que no necesariamente deben ser enviados al frontend en todas las operaciones.</w:t>
      </w:r>
      <w:r>
        <w:br/>
      </w:r>
      <w:r>
        <w:br/>
      </w:r>
      <w:r>
        <w:rPr>
          <w:rStyle w:val="VerbatimChar"/>
        </w:rPr>
        <w:t xml:space="preserve">La existencia de `BookResponse` y `BookDetailResponse` permite además devolver diferentes niveles de información dependiendo de la operación solicitada.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3.5 Justificación de los Mappers</w:t>
      </w:r>
      <w:r>
        <w:br/>
      </w:r>
      <w:r>
        <w:br/>
      </w:r>
      <w:r>
        <w:rPr>
          <w:rStyle w:val="VerbatimChar"/>
        </w:rPr>
        <w:t xml:space="preserve">Los mappers fueron incorporados para centralizar la transformación entre entidades y DTOs.</w:t>
      </w:r>
      <w:r>
        <w:br/>
      </w:r>
      <w:r>
        <w:br/>
      </w:r>
      <w:r>
        <w:rPr>
          <w:rStyle w:val="VerbatimChar"/>
        </w:rPr>
        <w:t xml:space="preserve">El flujo de entrada es:</w:t>
      </w:r>
      <w:r>
        <w:br/>
      </w:r>
      <w:r>
        <w:br/>
      </w:r>
      <w:r>
        <w:rPr>
          <w:rStyle w:val="VerbatimChar"/>
        </w:rPr>
        <w:t xml:space="preserve">```text id="j3x6pn"</w:t>
      </w:r>
      <w:r>
        <w:br/>
      </w:r>
      <w:r>
        <w:rPr>
          <w:rStyle w:val="VerbatimChar"/>
        </w:rPr>
        <w:t xml:space="preserve">CreateBookRequest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BookMapper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Book</w:t>
      </w:r>
    </w:p>
    <w:p>
      <w:pPr>
        <w:pStyle w:val="FirstParagraph"/>
      </w:pPr>
      <w:r>
        <w:t xml:space="preserve">Mientras que el flujo de salida es:</w:t>
      </w:r>
    </w:p>
    <w:p>
      <w:pPr>
        <w:pStyle w:val="BodyText"/>
      </w:pPr>
      <w:r>
        <w:rPr>
          <w:rStyle w:val="VerbatimChar"/>
        </w:rPr>
        <w:t xml:space="preserve">text id="g5v6uk" Book   ↓ BookMapper   ↓ BookResponse / BookDetailResponse</w:t>
      </w:r>
    </w:p>
    <w:p>
      <w:pPr>
        <w:pStyle w:val="BodyText"/>
      </w:pPr>
      <w:r>
        <w:t xml:space="preserve">Esta decisión evita distribuir lógica de transformación entre controllers y services.</w:t>
      </w:r>
    </w:p>
    <w:p>
      <w:pPr>
        <w:pStyle w:val="BodyText"/>
      </w:pPr>
      <w:r>
        <w:t xml:space="preserve">Además, facilita las pruebas unitarias y reduce la duplicación de código.</w:t>
      </w:r>
    </w:p>
    <w:p>
      <w:r>
        <w:pict>
          <v:rect style="width:0;height:1.5pt" o:hralign="center" o:hrstd="t" o:hr="t"/>
        </w:pict>
      </w:r>
    </w:p>
    <w:bookmarkEnd w:id="13"/>
    <w:bookmarkStart w:id="14" w:name="justificación-de-postgresql"/>
    <w:p>
      <w:pPr>
        <w:pStyle w:val="Heading1"/>
      </w:pPr>
      <w:r>
        <w:t xml:space="preserve">3.6 Justificación de PostgreSQL</w:t>
      </w:r>
    </w:p>
    <w:p>
      <w:pPr>
        <w:pStyle w:val="FirstParagraph"/>
      </w:pPr>
      <w:r>
        <w:t xml:space="preserve">Se seleccionó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debido a que el dominio de la aplicación es naturalmente relacional.</w:t>
      </w:r>
    </w:p>
    <w:p>
      <w:pPr>
        <w:pStyle w:val="BodyText"/>
      </w:pPr>
      <w:r>
        <w:t xml:space="preserve">El sistema requiere representar relaciones entre:</w:t>
      </w:r>
    </w:p>
    <w:p>
      <w:pPr>
        <w:pStyle w:val="Compact"/>
        <w:numPr>
          <w:ilvl w:val="0"/>
          <w:numId w:val="1004"/>
        </w:numPr>
      </w:pPr>
      <w:r>
        <w:t xml:space="preserve">Libros.</w:t>
      </w:r>
    </w:p>
    <w:p>
      <w:pPr>
        <w:pStyle w:val="Compact"/>
        <w:numPr>
          <w:ilvl w:val="0"/>
          <w:numId w:val="1004"/>
        </w:numPr>
      </w:pPr>
      <w:r>
        <w:t xml:space="preserve">Autores.</w:t>
      </w:r>
    </w:p>
    <w:p>
      <w:pPr>
        <w:pStyle w:val="Compact"/>
        <w:numPr>
          <w:ilvl w:val="0"/>
          <w:numId w:val="1004"/>
        </w:numPr>
      </w:pPr>
      <w:r>
        <w:t xml:space="preserve">Géneros.</w:t>
      </w:r>
    </w:p>
    <w:p>
      <w:pPr>
        <w:pStyle w:val="Compact"/>
        <w:numPr>
          <w:ilvl w:val="0"/>
          <w:numId w:val="1004"/>
        </w:numPr>
      </w:pPr>
      <w:r>
        <w:t xml:space="preserve">Editoriales.</w:t>
      </w:r>
    </w:p>
    <w:p>
      <w:pPr>
        <w:pStyle w:val="FirstParagraph"/>
      </w:pPr>
      <w:r>
        <w:t xml:space="preserve">Un libro puede tener múltiples autores y múltiples géneros, mientras que un autor o género puede estar relacionado con múltiples libros.</w:t>
      </w:r>
    </w:p>
    <w:p>
      <w:pPr>
        <w:pStyle w:val="BodyText"/>
      </w:pPr>
      <w:r>
        <w:t xml:space="preserve">Por esta razón, el modelo utiliza relaciones muchos a muchos mediante tablas intermedias:</w:t>
      </w:r>
    </w:p>
    <w:p>
      <w:pPr>
        <w:pStyle w:val="BodyText"/>
      </w:pPr>
      <w:r>
        <w:t xml:space="preserve">```text id=</w:t>
      </w:r>
      <w:r>
        <w:t xml:space="preserve">“3pp1xi”</w:t>
      </w:r>
      <w:r>
        <w:t xml:space="preserve"> </w:t>
      </w:r>
      <w:r>
        <w:t xml:space="preserve">Book ───────&lt; BookAuthor &gt;─────── Author</w:t>
      </w:r>
    </w:p>
    <w:p>
      <w:pPr>
        <w:pStyle w:val="BodyText"/>
      </w:pPr>
      <w:r>
        <w:t xml:space="preserve">Book ───────&lt; BookGenre &gt;──────── Genre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PostgreSQL permite representar estas relaciones y garantizar la integridad referencial mediante claves primarias y foráneas.</w:t>
      </w:r>
      <w:r>
        <w:br/>
      </w:r>
      <w:r>
        <w:br/>
      </w:r>
      <w:r>
        <w:rPr>
          <w:rStyle w:val="VerbatimChar"/>
        </w:rPr>
        <w:t xml:space="preserve">Además, la solución utiliza características propias de bases de datos relacionales como:</w:t>
      </w:r>
      <w:r>
        <w:br/>
      </w:r>
      <w:r>
        <w:br/>
      </w:r>
      <w:r>
        <w:rPr>
          <w:rStyle w:val="VerbatimChar"/>
        </w:rPr>
        <w:t xml:space="preserve">- `PRIMARY KEY`.</w:t>
      </w:r>
      <w:r>
        <w:br/>
      </w:r>
      <w:r>
        <w:rPr>
          <w:rStyle w:val="VerbatimChar"/>
        </w:rPr>
        <w:t xml:space="preserve">- `FOREIGN KEY`.</w:t>
      </w:r>
      <w:r>
        <w:br/>
      </w:r>
      <w:r>
        <w:rPr>
          <w:rStyle w:val="VerbatimChar"/>
        </w:rPr>
        <w:t xml:space="preserve">- `UNIQUE`.</w:t>
      </w:r>
      <w:r>
        <w:br/>
      </w:r>
      <w:r>
        <w:rPr>
          <w:rStyle w:val="VerbatimChar"/>
        </w:rPr>
        <w:t xml:space="preserve">- `CHECK`.</w:t>
      </w:r>
      <w:r>
        <w:br/>
      </w:r>
      <w:r>
        <w:rPr>
          <w:rStyle w:val="VerbatimChar"/>
        </w:rPr>
        <w:t xml:space="preserve">- `INDEX`.</w:t>
      </w:r>
      <w:r>
        <w:br/>
      </w:r>
      <w:r>
        <w:rPr>
          <w:rStyle w:val="VerbatimChar"/>
        </w:rPr>
        <w:t xml:space="preserve">- `VIEW`.</w:t>
      </w:r>
      <w:r>
        <w:br/>
      </w:r>
      <w:r>
        <w:rPr>
          <w:rStyle w:val="VerbatimChar"/>
        </w:rPr>
        <w:t xml:space="preserve">- `TRIGGER`.</w:t>
      </w:r>
      <w:r>
        <w:br/>
      </w:r>
      <w:r>
        <w:br/>
      </w:r>
      <w:r>
        <w:rPr>
          <w:rStyle w:val="VerbatimChar"/>
        </w:rPr>
        <w:t xml:space="preserve">Estas características permiten trasladar determinadas reglas de integridad directamente al nivel de persistencia.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3.7 Justificación del modelo relacional</w:t>
      </w:r>
      <w:r>
        <w:br/>
      </w:r>
      <w:r>
        <w:br/>
      </w:r>
      <w:r>
        <w:rPr>
          <w:rStyle w:val="VerbatimChar"/>
        </w:rPr>
        <w:t xml:space="preserve">El modelo fue diseñado buscando evitar duplicación innecesaria de información.</w:t>
      </w:r>
      <w:r>
        <w:br/>
      </w:r>
      <w:r>
        <w:br/>
      </w:r>
      <w:r>
        <w:rPr>
          <w:rStyle w:val="VerbatimChar"/>
        </w:rPr>
        <w:t xml:space="preserve">Por ejemplo, los autores no se almacenan directamente como texto dentro de la tabla `book`.</w:t>
      </w:r>
      <w:r>
        <w:br/>
      </w:r>
      <w:r>
        <w:br/>
      </w:r>
      <w:r>
        <w:rPr>
          <w:rStyle w:val="VerbatimChar"/>
        </w:rPr>
        <w:t xml:space="preserve">En su lugar se utiliza:</w:t>
      </w:r>
      <w:r>
        <w:br/>
      </w:r>
      <w:r>
        <w:br/>
      </w:r>
      <w:r>
        <w:rPr>
          <w:rStyle w:val="VerbatimChar"/>
        </w:rPr>
        <w:t xml:space="preserve">```text id="p6z9fv"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BOOK_AUTHOR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AUTHOR</w:t>
      </w:r>
    </w:p>
    <w:p>
      <w:pPr>
        <w:pStyle w:val="FirstParagraph"/>
      </w:pPr>
      <w:r>
        <w:t xml:space="preserve">De esta manera, un mismo autor puede estar relacionado con múltiples libros sin duplicar su información.</w:t>
      </w:r>
    </w:p>
    <w:p>
      <w:pPr>
        <w:pStyle w:val="BodyText"/>
      </w:pPr>
      <w:r>
        <w:t xml:space="preserve">El mismo principio se aplica a los géneros.</w:t>
      </w:r>
    </w:p>
    <w:p>
      <w:pPr>
        <w:pStyle w:val="BodyText"/>
      </w:pPr>
      <w:r>
        <w:t xml:space="preserve">La editorial, por su parte, se representa mediante una relación</w:t>
      </w:r>
      <w:r>
        <w:t xml:space="preserve"> </w:t>
      </w:r>
      <w:r>
        <w:rPr>
          <w:rStyle w:val="VerbatimChar"/>
        </w:rPr>
        <w:t xml:space="preserve">N:1</w:t>
      </w:r>
      <w:r>
        <w:t xml:space="preserve">, ya que cada libro pertenece a una editorial y una editorial puede publicar múltiples libros.</w:t>
      </w:r>
    </w:p>
    <w:p>
      <w:r>
        <w:pict>
          <v:rect style="width:0;height:1.5pt" o:hralign="center" o:hrstd="t" o:hr="t"/>
        </w:pict>
      </w:r>
    </w:p>
    <w:bookmarkEnd w:id="14"/>
    <w:bookmarkStart w:id="15" w:name="X885edbb9b00018dea34abeae98f8cac6fce569f"/>
    <w:p>
      <w:pPr>
        <w:pStyle w:val="Heading1"/>
      </w:pPr>
      <w:r>
        <w:t xml:space="preserve">3.8 Justificación de Spring Data JPA y Hibernate</w:t>
      </w:r>
    </w:p>
    <w:p>
      <w:pPr>
        <w:pStyle w:val="FirstParagraph"/>
      </w:pPr>
      <w:r>
        <w:t xml:space="preserve">Se seleccionaron</w:t>
      </w:r>
      <w:r>
        <w:t xml:space="preserve"> </w:t>
      </w:r>
      <w:r>
        <w:rPr>
          <w:b/>
          <w:bCs/>
        </w:rPr>
        <w:t xml:space="preserve">Spring Data JPA y Hibernate</w:t>
      </w:r>
      <w:r>
        <w:t xml:space="preserve"> </w:t>
      </w:r>
      <w:r>
        <w:t xml:space="preserve">para implementar la capa de persistencia.</w:t>
      </w:r>
    </w:p>
    <w:p>
      <w:pPr>
        <w:pStyle w:val="BodyText"/>
      </w:pPr>
      <w:r>
        <w:t xml:space="preserve">Esta combinación permite trabajar con las entidades Java y sus relaciones sin tener que implementar manualmente todas las operaciones SQL del CRUD.</w:t>
      </w:r>
    </w:p>
    <w:p>
      <w:pPr>
        <w:pStyle w:val="BodyText"/>
      </w:pPr>
      <w:r>
        <w:t xml:space="preserve">Entre sus ventajas para este proyecto se encuentran:</w:t>
      </w:r>
    </w:p>
    <w:p>
      <w:pPr>
        <w:pStyle w:val="Compact"/>
        <w:numPr>
          <w:ilvl w:val="0"/>
          <w:numId w:val="1005"/>
        </w:numPr>
      </w:pPr>
      <w:r>
        <w:t xml:space="preserve">Reducción de código repetitivo.</w:t>
      </w:r>
    </w:p>
    <w:p>
      <w:pPr>
        <w:pStyle w:val="Compact"/>
        <w:numPr>
          <w:ilvl w:val="0"/>
          <w:numId w:val="1005"/>
        </w:numPr>
      </w:pPr>
      <w:r>
        <w:t xml:space="preserve">Integración con Spring Boot.</w:t>
      </w:r>
    </w:p>
    <w:p>
      <w:pPr>
        <w:pStyle w:val="Compact"/>
        <w:numPr>
          <w:ilvl w:val="0"/>
          <w:numId w:val="1005"/>
        </w:numPr>
      </w:pPr>
      <w:r>
        <w:t xml:space="preserve">Manejo de relaciones entre entidades.</w:t>
      </w:r>
    </w:p>
    <w:p>
      <w:pPr>
        <w:pStyle w:val="Compact"/>
        <w:numPr>
          <w:ilvl w:val="0"/>
          <w:numId w:val="1005"/>
        </w:numPr>
      </w:pPr>
      <w:r>
        <w:t xml:space="preserve">Abstracción del acceso a datos.</w:t>
      </w:r>
    </w:p>
    <w:p>
      <w:pPr>
        <w:pStyle w:val="Compact"/>
        <w:numPr>
          <w:ilvl w:val="0"/>
          <w:numId w:val="1005"/>
        </w:numPr>
      </w:pPr>
      <w:r>
        <w:t xml:space="preserve">Facilidad para implementar operaciones CRUD.</w:t>
      </w:r>
    </w:p>
    <w:p>
      <w:pPr>
        <w:pStyle w:val="Compact"/>
        <w:numPr>
          <w:ilvl w:val="0"/>
          <w:numId w:val="1005"/>
        </w:numPr>
      </w:pPr>
      <w:r>
        <w:t xml:space="preserve">Integración con transacciones.</w:t>
      </w:r>
    </w:p>
    <w:p>
      <w:pPr>
        <w:pStyle w:val="FirstParagraph"/>
      </w:pPr>
      <w:r>
        <w:t xml:space="preserve">El uso de repositories permite mantener la lógica de acceso a datos separada de la lógica de negocio.</w:t>
      </w:r>
    </w:p>
    <w:p>
      <w:r>
        <w:pict>
          <v:rect style="width:0;height:1.5pt" o:hralign="center" o:hrstd="t" o:hr="t"/>
        </w:pict>
      </w:r>
    </w:p>
    <w:bookmarkEnd w:id="15"/>
    <w:bookmarkStart w:id="16" w:name="justificación-de-react"/>
    <w:p>
      <w:pPr>
        <w:pStyle w:val="Heading1"/>
      </w:pPr>
      <w:r>
        <w:t xml:space="preserve">3.9 Justificación de React</w:t>
      </w:r>
    </w:p>
    <w:p>
      <w:pPr>
        <w:pStyle w:val="FirstParagraph"/>
      </w:pPr>
      <w:r>
        <w:t xml:space="preserve">Se seleccionó</w:t>
      </w:r>
      <w:r>
        <w:t xml:space="preserve"> </w:t>
      </w:r>
      <w:r>
        <w:rPr>
          <w:b/>
          <w:bCs/>
        </w:rPr>
        <w:t xml:space="preserve">React con TypeScript</w:t>
      </w:r>
      <w:r>
        <w:t xml:space="preserve"> </w:t>
      </w:r>
      <w:r>
        <w:t xml:space="preserve">para desarrollar el frontend.</w:t>
      </w:r>
    </w:p>
    <w:p>
      <w:pPr>
        <w:pStyle w:val="BodyText"/>
      </w:pPr>
      <w:r>
        <w:t xml:space="preserve">React permite construir la interfaz mediante componentes reutilizables.</w:t>
      </w:r>
    </w:p>
    <w:p>
      <w:pPr>
        <w:pStyle w:val="BodyText"/>
      </w:pPr>
      <w:r>
        <w:t xml:space="preserve">Esta característica resulta especialmente útil para el proyecto, ya que existen elementos que se utilizan en diferentes partes de la aplicación, como:</w:t>
      </w:r>
    </w:p>
    <w:p>
      <w:pPr>
        <w:pStyle w:val="Compact"/>
        <w:numPr>
          <w:ilvl w:val="0"/>
          <w:numId w:val="1006"/>
        </w:numPr>
      </w:pPr>
      <w:r>
        <w:t xml:space="preserve">Tablas.</w:t>
      </w:r>
    </w:p>
    <w:p>
      <w:pPr>
        <w:pStyle w:val="Compact"/>
        <w:numPr>
          <w:ilvl w:val="0"/>
          <w:numId w:val="1006"/>
        </w:numPr>
      </w:pPr>
      <w:r>
        <w:t xml:space="preserve">Formularios.</w:t>
      </w:r>
    </w:p>
    <w:p>
      <w:pPr>
        <w:pStyle w:val="Compact"/>
        <w:numPr>
          <w:ilvl w:val="0"/>
          <w:numId w:val="1006"/>
        </w:numPr>
      </w:pPr>
      <w:r>
        <w:t xml:space="preserve">Barra de búsqueda.</w:t>
      </w:r>
    </w:p>
    <w:p>
      <w:pPr>
        <w:pStyle w:val="Compact"/>
        <w:numPr>
          <w:ilvl w:val="0"/>
          <w:numId w:val="1006"/>
        </w:numPr>
      </w:pPr>
      <w:r>
        <w:t xml:space="preserve">Diálogos de confirmación.</w:t>
      </w:r>
    </w:p>
    <w:p>
      <w:pPr>
        <w:pStyle w:val="Compact"/>
        <w:numPr>
          <w:ilvl w:val="0"/>
          <w:numId w:val="1006"/>
        </w:numPr>
      </w:pPr>
      <w:r>
        <w:t xml:space="preserve">Navegación.</w:t>
      </w:r>
    </w:p>
    <w:p>
      <w:pPr>
        <w:pStyle w:val="FirstParagraph"/>
      </w:pPr>
      <w:r>
        <w:t xml:space="preserve">La estructura implementada permite separar páginas y componentes:</w:t>
      </w:r>
    </w:p>
    <w:p>
      <w:pPr>
        <w:pStyle w:val="BodyText"/>
      </w:pPr>
      <w:r>
        <w:rPr>
          <w:rStyle w:val="VerbatimChar"/>
        </w:rPr>
        <w:t xml:space="preserve">text id="ebx9hj" Pages    │    ├── Home    ├── BookDetail    ├── CreateBook    └── EditBook         │         ▼ Components    │    ├── BookTable    ├── BookForm    ├── SearchBar    └── ConfirmDialog</w:t>
      </w:r>
    </w:p>
    <w:p>
      <w:pPr>
        <w:pStyle w:val="BodyText"/>
      </w:pPr>
      <w:r>
        <w:t xml:space="preserve">Esto facilita la reutilización y mantenimiento de la interfaz.</w:t>
      </w:r>
    </w:p>
    <w:p>
      <w:r>
        <w:pict>
          <v:rect style="width:0;height:1.5pt" o:hralign="center" o:hrstd="t" o:hr="t"/>
        </w:pict>
      </w:r>
    </w:p>
    <w:bookmarkEnd w:id="16"/>
    <w:bookmarkStart w:id="17" w:name="justificación-de-typescript"/>
    <w:p>
      <w:pPr>
        <w:pStyle w:val="Heading1"/>
      </w:pPr>
      <w:r>
        <w:t xml:space="preserve">3.10 Justificación de TypeScript</w:t>
      </w:r>
    </w:p>
    <w:p>
      <w:pPr>
        <w:pStyle w:val="FirstParagraph"/>
      </w:pPr>
      <w:r>
        <w:t xml:space="preserve">Se utilizó TypeScript para proporcionar tipado estático al frontend.</w:t>
      </w:r>
    </w:p>
    <w:p>
      <w:pPr>
        <w:pStyle w:val="BodyText"/>
      </w:pPr>
      <w:r>
        <w:t xml:space="preserve">El proyecto define modelos específicos para las estructuras utilizadas por la API:</w:t>
      </w:r>
    </w:p>
    <w:p>
      <w:pPr>
        <w:pStyle w:val="BodyText"/>
      </w:pPr>
      <w:r>
        <w:rPr>
          <w:rStyle w:val="VerbatimChar"/>
        </w:rPr>
        <w:t xml:space="preserve">text id="w74xmr" models/ ├── Author.ts ├── BookDetailResponse.ts ├── BookRequest.ts ├── BookResponse.ts ├── Genre.ts └── Publisher.ts</w:t>
      </w:r>
    </w:p>
    <w:p>
      <w:pPr>
        <w:pStyle w:val="BodyText"/>
      </w:pPr>
      <w:r>
        <w:t xml:space="preserve">Esto permite detectar inconsistencias durante el desarrollo y facilita el mantenimiento del código.</w:t>
      </w:r>
    </w:p>
    <w:p>
      <w:pPr>
        <w:pStyle w:val="BodyText"/>
      </w:pPr>
      <w:r>
        <w:t xml:space="preserve">También permite que los contratos utilizados por los servicios del frontend sean explícitos.</w:t>
      </w:r>
    </w:p>
    <w:p>
      <w:pPr>
        <w:pStyle w:val="BodyText"/>
      </w:pPr>
      <w:r>
        <w:t xml:space="preserve">Por ejemplo:</w:t>
      </w:r>
    </w:p>
    <w:p>
      <w:pPr>
        <w:pStyle w:val="BodyText"/>
      </w:pPr>
      <w:r>
        <w:rPr>
          <w:rStyle w:val="VerbatimChar"/>
        </w:rPr>
        <w:t xml:space="preserve">text id="s6zbyf" API  │  ▼ BookResponse  │  ▼ React</w:t>
      </w:r>
    </w:p>
    <w:p>
      <w:pPr>
        <w:pStyle w:val="BodyText"/>
      </w:pPr>
      <w:r>
        <w:t xml:space="preserve">El frontend conoce la estructura esperada de la respuesta en lugar de trabajar con objetos sin tipado.</w:t>
      </w:r>
    </w:p>
    <w:p>
      <w:r>
        <w:pict>
          <v:rect style="width:0;height:1.5pt" o:hralign="center" o:hrstd="t" o:hr="t"/>
        </w:pict>
      </w:r>
    </w:p>
    <w:bookmarkEnd w:id="17"/>
    <w:bookmarkStart w:id="18" w:name="Xd82a35bc15765513a598b72a6db919316622d48"/>
    <w:p>
      <w:pPr>
        <w:pStyle w:val="Heading1"/>
      </w:pPr>
      <w:r>
        <w:t xml:space="preserve">3.11 Justificación de la generación del identificador</w:t>
      </w:r>
    </w:p>
    <w:p>
      <w:pPr>
        <w:pStyle w:val="FirstParagraph"/>
      </w:pPr>
      <w:r>
        <w:t xml:space="preserve">El requisito establece que cada libro debe contar con un identificador compuesto por una letra y dos dígitos.</w:t>
      </w:r>
    </w:p>
    <w:p>
      <w:pPr>
        <w:pStyle w:val="BodyText"/>
      </w:pPr>
      <w:r>
        <w:t xml:space="preserve">Por este motivo, se implementó un componente independiente:</w:t>
      </w:r>
    </w:p>
    <w:p>
      <w:pPr>
        <w:pStyle w:val="BodyText"/>
      </w:pPr>
      <w:r>
        <w:rPr>
          <w:rStyle w:val="VerbatimChar"/>
        </w:rPr>
        <w:t xml:space="preserve">text id="b7lh13" BookIdGenerator</w:t>
      </w:r>
    </w:p>
    <w:p>
      <w:pPr>
        <w:pStyle w:val="BodyText"/>
      </w:pPr>
      <w:r>
        <w:t xml:space="preserve">El formato utilizado es:</w:t>
      </w:r>
    </w:p>
    <w:p>
      <w:pPr>
        <w:pStyle w:val="BodyText"/>
      </w:pPr>
      <w:r>
        <w:rPr>
          <w:rStyle w:val="VerbatimChar"/>
        </w:rPr>
        <w:t xml:space="preserve">text id="1dh9a4" [A-Z][0-9][0-9]</w:t>
      </w:r>
    </w:p>
    <w:p>
      <w:pPr>
        <w:pStyle w:val="BodyText"/>
      </w:pPr>
      <w:r>
        <w:t xml:space="preserve">Ejemplos:</w:t>
      </w:r>
    </w:p>
    <w:p>
      <w:pPr>
        <w:pStyle w:val="BodyText"/>
      </w:pPr>
      <w:r>
        <w:rPr>
          <w:rStyle w:val="VerbatimChar"/>
        </w:rPr>
        <w:t xml:space="preserve">text id="jzrlxf" A12 B34 C56 Z99</w:t>
      </w:r>
    </w:p>
    <w:p>
      <w:pPr>
        <w:pStyle w:val="BodyText"/>
      </w:pPr>
      <w:r>
        <w:t xml:space="preserve">La generación se encuentra encapsulada en una utilidad independiente para evitar incorporar esta responsabilidad directamente dentro del controller o repository.</w:t>
      </w:r>
    </w:p>
    <w:p>
      <w:pPr>
        <w:pStyle w:val="BodyText"/>
      </w:pPr>
      <w:r>
        <w:t xml:space="preserve">Antes de persistir el libro se verifica que el identificador generado no se encuentre actualmente registrado.</w:t>
      </w:r>
    </w:p>
    <w:p>
      <w:pPr>
        <w:pStyle w:val="BodyText"/>
      </w:pPr>
      <w:r>
        <w:t xml:space="preserve">El espacio de identificadores disponible es:</w:t>
      </w:r>
    </w:p>
    <w:p>
      <w:pPr>
        <w:pStyle w:val="BodyText"/>
      </w:pPr>
      <w:r>
        <w:rPr>
          <w:rStyle w:val="VerbatimChar"/>
        </w:rPr>
        <w:t xml:space="preserve">text id="qv7xkq" 26 × 100 = 2,600 identificadores</w:t>
      </w:r>
    </w:p>
    <w:p>
      <w:pPr>
        <w:pStyle w:val="BodyText"/>
      </w:pPr>
      <w:r>
        <w:t xml:space="preserve">Este espacio resulta suficiente para el alcance de la prueba técnica y una biblioteca de tamaño reducido.</w:t>
      </w:r>
    </w:p>
    <w:p>
      <w:pPr>
        <w:pStyle w:val="BodyText"/>
      </w:pPr>
      <w:r>
        <w:t xml:space="preserve">Para un sistema de mayor escala sería recomendable utilizar un identificador con un espacio de valores significativamente mayor.</w:t>
      </w:r>
    </w:p>
    <w:p>
      <w:r>
        <w:pict>
          <v:rect style="width:0;height:1.5pt" o:hralign="center" o:hrstd="t" o:hr="t"/>
        </w:pict>
      </w:r>
    </w:p>
    <w:bookmarkEnd w:id="18"/>
    <w:bookmarkStart w:id="19" w:name="Xd79eac07e6c6a18dd4c2e7b1cddc7df00c0dcb5"/>
    <w:p>
      <w:pPr>
        <w:pStyle w:val="Heading1"/>
      </w:pPr>
      <w:r>
        <w:t xml:space="preserve">3.12 Justificación del historial de eliminaciones</w:t>
      </w:r>
    </w:p>
    <w:p>
      <w:pPr>
        <w:pStyle w:val="FirstParagraph"/>
      </w:pPr>
      <w:r>
        <w:t xml:space="preserve">Además del CRUD solicitado, se implementó una tabla</w:t>
      </w:r>
      <w:r>
        <w:t xml:space="preserve"> </w:t>
      </w:r>
      <w:r>
        <w:rPr>
          <w:rStyle w:val="VerbatimChar"/>
        </w:rPr>
        <w:t xml:space="preserve">book_history</w:t>
      </w:r>
      <w:r>
        <w:t xml:space="preserve">.</w:t>
      </w:r>
    </w:p>
    <w:p>
      <w:pPr>
        <w:pStyle w:val="BodyText"/>
      </w:pPr>
      <w:r>
        <w:t xml:space="preserve">La decisión se tomó para conservar información de los libros eliminados y proporcionar trazabilidad sobre las operaciones de eliminación.</w:t>
      </w:r>
    </w:p>
    <w:p>
      <w:pPr>
        <w:pStyle w:val="BodyText"/>
      </w:pPr>
      <w:r>
        <w:t xml:space="preserve">La información histórica incluye datos como:</w:t>
      </w:r>
    </w:p>
    <w:p>
      <w:pPr>
        <w:pStyle w:val="Compact"/>
        <w:numPr>
          <w:ilvl w:val="0"/>
          <w:numId w:val="1007"/>
        </w:numPr>
      </w:pPr>
      <w:r>
        <w:t xml:space="preserve">Identificador original.</w:t>
      </w:r>
    </w:p>
    <w:p>
      <w:pPr>
        <w:pStyle w:val="Compact"/>
        <w:numPr>
          <w:ilvl w:val="0"/>
          <w:numId w:val="1007"/>
        </w:numPr>
      </w:pPr>
      <w:r>
        <w:t xml:space="preserve">Título.</w:t>
      </w:r>
    </w:p>
    <w:p>
      <w:pPr>
        <w:pStyle w:val="Compact"/>
        <w:numPr>
          <w:ilvl w:val="0"/>
          <w:numId w:val="1007"/>
        </w:numPr>
      </w:pPr>
      <w:r>
        <w:t xml:space="preserve">ISBN.</w:t>
      </w:r>
    </w:p>
    <w:p>
      <w:pPr>
        <w:pStyle w:val="Compact"/>
        <w:numPr>
          <w:ilvl w:val="0"/>
          <w:numId w:val="1007"/>
        </w:numPr>
      </w:pPr>
      <w:r>
        <w:t xml:space="preserve">Año de publicación.</w:t>
      </w:r>
    </w:p>
    <w:p>
      <w:pPr>
        <w:pStyle w:val="Compact"/>
        <w:numPr>
          <w:ilvl w:val="0"/>
          <w:numId w:val="1007"/>
        </w:numPr>
      </w:pPr>
      <w:r>
        <w:t xml:space="preserve">Edición.</w:t>
      </w:r>
    </w:p>
    <w:p>
      <w:pPr>
        <w:pStyle w:val="Compact"/>
        <w:numPr>
          <w:ilvl w:val="0"/>
          <w:numId w:val="1007"/>
        </w:numPr>
      </w:pPr>
      <w:r>
        <w:t xml:space="preserve">Idioma.</w:t>
      </w:r>
    </w:p>
    <w:p>
      <w:pPr>
        <w:pStyle w:val="Compact"/>
        <w:numPr>
          <w:ilvl w:val="0"/>
          <w:numId w:val="1007"/>
        </w:numPr>
      </w:pPr>
      <w:r>
        <w:t xml:space="preserve">Páginas.</w:t>
      </w:r>
    </w:p>
    <w:p>
      <w:pPr>
        <w:pStyle w:val="Compact"/>
        <w:numPr>
          <w:ilvl w:val="0"/>
          <w:numId w:val="1007"/>
        </w:numPr>
      </w:pPr>
      <w:r>
        <w:t xml:space="preserve">Stock.</w:t>
      </w:r>
    </w:p>
    <w:p>
      <w:pPr>
        <w:pStyle w:val="Compact"/>
        <w:numPr>
          <w:ilvl w:val="0"/>
          <w:numId w:val="1007"/>
        </w:numPr>
      </w:pPr>
      <w:r>
        <w:t xml:space="preserve">Ubicación.</w:t>
      </w:r>
    </w:p>
    <w:p>
      <w:pPr>
        <w:pStyle w:val="Compact"/>
        <w:numPr>
          <w:ilvl w:val="0"/>
          <w:numId w:val="1007"/>
        </w:numPr>
      </w:pPr>
      <w:r>
        <w:t xml:space="preserve">Editorial.</w:t>
      </w:r>
    </w:p>
    <w:p>
      <w:pPr>
        <w:pStyle w:val="Compact"/>
        <w:numPr>
          <w:ilvl w:val="0"/>
          <w:numId w:val="1007"/>
        </w:numPr>
      </w:pPr>
      <w:r>
        <w:t xml:space="preserve">Autores.</w:t>
      </w:r>
    </w:p>
    <w:p>
      <w:pPr>
        <w:pStyle w:val="Compact"/>
        <w:numPr>
          <w:ilvl w:val="0"/>
          <w:numId w:val="1007"/>
        </w:numPr>
      </w:pPr>
      <w:r>
        <w:t xml:space="preserve">Géneros.</w:t>
      </w:r>
    </w:p>
    <w:p>
      <w:pPr>
        <w:pStyle w:val="Compact"/>
        <w:numPr>
          <w:ilvl w:val="0"/>
          <w:numId w:val="1007"/>
        </w:numPr>
      </w:pPr>
      <w:r>
        <w:t xml:space="preserve">Fecha de eliminación.</w:t>
      </w:r>
    </w:p>
    <w:p>
      <w:pPr>
        <w:pStyle w:val="Compact"/>
        <w:numPr>
          <w:ilvl w:val="0"/>
          <w:numId w:val="1007"/>
        </w:numPr>
      </w:pPr>
      <w:r>
        <w:t xml:space="preserve">Usuario responsable, cuando se encuentre disponible.</w:t>
      </w:r>
    </w:p>
    <w:p>
      <w:pPr>
        <w:pStyle w:val="FirstParagraph"/>
      </w:pPr>
      <w:r>
        <w:t xml:space="preserve">El flujo conceptual es:</w:t>
      </w:r>
    </w:p>
    <w:p>
      <w:pPr>
        <w:pStyle w:val="BodyText"/>
      </w:pPr>
      <w:r>
        <w:rPr>
          <w:rStyle w:val="VerbatimChar"/>
        </w:rPr>
        <w:t xml:space="preserve">text id="s7vl5r" Book  │  │ DELETE  ▼ BookHistory  │  ▼ Registro histórico</w:t>
      </w:r>
    </w:p>
    <w:p>
      <w:pPr>
        <w:pStyle w:val="BodyText"/>
      </w:pPr>
      <w:r>
        <w:t xml:space="preserve">Esto permite que la eliminación física del registro principal no implique necesariamente perder toda la información relacionada con el mismo.</w:t>
      </w:r>
    </w:p>
    <w:p>
      <w:pPr>
        <w:pStyle w:val="BodyText"/>
      </w:pPr>
      <w:r>
        <w:t xml:space="preserve">Esta funcionalidad no es estrictamente necesaria para cumplir el CRUD básico, pero agrega una capacidad de trazabilidad útil sin modificar significativamente la arquitectura.</w:t>
      </w:r>
    </w:p>
    <w:p>
      <w:r>
        <w:pict>
          <v:rect style="width:0;height:1.5pt" o:hralign="center" o:hrstd="t" o:hr="t"/>
        </w:pict>
      </w:r>
    </w:p>
    <w:bookmarkEnd w:id="19"/>
    <w:bookmarkStart w:id="24" w:name="X3dec286f86d39470da1dc8656d3d81e127db437"/>
    <w:p>
      <w:pPr>
        <w:pStyle w:val="Heading1"/>
      </w:pPr>
      <w:r>
        <w:t xml:space="preserve">3.13 Justificación de las restricciones de base de datos</w:t>
      </w:r>
    </w:p>
    <w:p>
      <w:pPr>
        <w:pStyle w:val="FirstParagraph"/>
      </w:pPr>
      <w:r>
        <w:t xml:space="preserve">Se utilizaron restricciones en PostgreSQL para garantizar la integridad de la información.</w:t>
      </w:r>
    </w:p>
    <w:p>
      <w:pPr>
        <w:pStyle w:val="BodyText"/>
      </w:pPr>
      <w:r>
        <w:t xml:space="preserve">Ejemplos:</w:t>
      </w:r>
    </w:p>
    <w:bookmarkStart w:id="20" w:name="stock"/>
    <w:p>
      <w:pPr>
        <w:pStyle w:val="Heading3"/>
      </w:pPr>
      <w:r>
        <w:t xml:space="preserve">Stock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(stock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Evita almacenar valores negativos.</w:t>
      </w:r>
    </w:p>
    <w:bookmarkEnd w:id="20"/>
    <w:bookmarkStart w:id="21" w:name="páginas"/>
    <w:p>
      <w:pPr>
        <w:pStyle w:val="Heading3"/>
      </w:pPr>
      <w:r>
        <w:t xml:space="preserve">Páginas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(pages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Evita registrar una cantidad inválida de páginas.</w:t>
      </w:r>
    </w:p>
    <w:bookmarkEnd w:id="21"/>
    <w:bookmarkStart w:id="22" w:name="año-de-publicación"/>
    <w:p>
      <w:pPr>
        <w:pStyle w:val="Heading3"/>
      </w:pPr>
      <w:r>
        <w:t xml:space="preserve">Año de publicación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(publication_year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Establece un rango razonable para los datos del proyecto.</w:t>
      </w:r>
    </w:p>
    <w:bookmarkEnd w:id="22"/>
    <w:bookmarkStart w:id="23" w:name="unicidad"/>
    <w:p>
      <w:pPr>
        <w:pStyle w:val="Heading3"/>
      </w:pPr>
      <w:r>
        <w:t xml:space="preserve">Unicidad</w:t>
      </w:r>
    </w:p>
    <w:p>
      <w:pPr>
        <w:pStyle w:val="FirstParagraph"/>
      </w:pPr>
      <w:r>
        <w:t xml:space="preserve">Se utilizan restricciones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para evitar duplicados en entidades como:</w:t>
      </w:r>
    </w:p>
    <w:p>
      <w:pPr>
        <w:pStyle w:val="Compact"/>
        <w:numPr>
          <w:ilvl w:val="0"/>
          <w:numId w:val="1008"/>
        </w:numPr>
      </w:pPr>
      <w:r>
        <w:t xml:space="preserve">ISBN.</w:t>
      </w:r>
    </w:p>
    <w:p>
      <w:pPr>
        <w:pStyle w:val="Compact"/>
        <w:numPr>
          <w:ilvl w:val="0"/>
          <w:numId w:val="1008"/>
        </w:numPr>
      </w:pPr>
      <w:r>
        <w:t xml:space="preserve">Nombre de autor.</w:t>
      </w:r>
    </w:p>
    <w:p>
      <w:pPr>
        <w:pStyle w:val="Compact"/>
        <w:numPr>
          <w:ilvl w:val="0"/>
          <w:numId w:val="1008"/>
        </w:numPr>
      </w:pPr>
      <w:r>
        <w:t xml:space="preserve">Nombre de género.</w:t>
      </w:r>
    </w:p>
    <w:p>
      <w:pPr>
        <w:pStyle w:val="Compact"/>
        <w:numPr>
          <w:ilvl w:val="0"/>
          <w:numId w:val="1008"/>
        </w:numPr>
      </w:pPr>
      <w:r>
        <w:t xml:space="preserve">Nombre de editorial.</w:t>
      </w:r>
    </w:p>
    <w:p>
      <w:pPr>
        <w:pStyle w:val="FirstParagraph"/>
      </w:pPr>
      <w:r>
        <w:t xml:space="preserve">La utilización de estas restricciones permite implementar una defensa adicional de la integridad de los datos directamente en la base de datos.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justificación-de-índices"/>
    <w:p>
      <w:pPr>
        <w:pStyle w:val="Heading1"/>
      </w:pPr>
      <w:r>
        <w:t xml:space="preserve">3.14 Justificación de índices</w:t>
      </w:r>
    </w:p>
    <w:p>
      <w:pPr>
        <w:pStyle w:val="FirstParagraph"/>
      </w:pPr>
      <w:r>
        <w:t xml:space="preserve">Se implementaron índices sobre campos utilizados frecuentemente para consultas y relaciones.</w:t>
      </w:r>
    </w:p>
    <w:p>
      <w:pPr>
        <w:pStyle w:val="BodyText"/>
      </w:pPr>
      <w:r>
        <w:t xml:space="preserve">Entre ellos:</w:t>
      </w:r>
    </w:p>
    <w:p>
      <w:pPr>
        <w:pStyle w:val="BodyText"/>
      </w:pPr>
      <w:r>
        <w:rPr>
          <w:rStyle w:val="VerbatimChar"/>
        </w:rPr>
        <w:t xml:space="preserve">text id="7l1q8n" book.title book.isbn book.publisher_id book_author.author_id book_genre.genre_id book_history.deleted_at</w:t>
      </w:r>
    </w:p>
    <w:p>
      <w:pPr>
        <w:pStyle w:val="BodyText"/>
      </w:pPr>
      <w:r>
        <w:t xml:space="preserve">El objetivo es mejorar el rendimiento de las consultas sobre estos campos a medida que aumente el número de registros.</w:t>
      </w:r>
    </w:p>
    <w:p>
      <w:pPr>
        <w:pStyle w:val="BodyText"/>
      </w:pPr>
      <w:r>
        <w:t xml:space="preserve">Para el alcance actual del proyecto, el impacto puede ser reducido debido al volumen limitado de información, pero la estructura permite una evolución más adecuada del sistema.</w:t>
      </w:r>
    </w:p>
    <w:p>
      <w:r>
        <w:pict>
          <v:rect style="width:0;height:1.5pt" o:hralign="center" o:hrstd="t" o:hr="t"/>
        </w:pict>
      </w:r>
    </w:p>
    <w:bookmarkEnd w:id="25"/>
    <w:bookmarkStart w:id="26" w:name="X3c1263071483f3349942bcbcdef586865531cb4"/>
    <w:p>
      <w:pPr>
        <w:pStyle w:val="Heading1"/>
      </w:pPr>
      <w:r>
        <w:t xml:space="preserve">3.15 Justificación del manejo centralizado de excepciones</w:t>
      </w:r>
    </w:p>
    <w:p>
      <w:pPr>
        <w:pStyle w:val="FirstParagraph"/>
      </w:pPr>
      <w:r>
        <w:t xml:space="preserve">Se implementó un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para centralizar el tratamiento de errores.</w:t>
      </w:r>
    </w:p>
    <w:p>
      <w:pPr>
        <w:pStyle w:val="BodyText"/>
      </w:pPr>
      <w:r>
        <w:t xml:space="preserve">Esto permite que diferentes endpoints utilicen una estructura de respuesta consistente.</w:t>
      </w:r>
    </w:p>
    <w:p>
      <w:pPr>
        <w:pStyle w:val="BodyText"/>
      </w:pPr>
      <w:r>
        <w:t xml:space="preserve">Por ejemplo:</w:t>
      </w:r>
    </w:p>
    <w:p>
      <w:pPr>
        <w:pStyle w:val="BodyText"/>
      </w:pPr>
      <w:r>
        <w:rPr>
          <w:rStyle w:val="VerbatimChar"/>
        </w:rPr>
        <w:t xml:space="preserve">text id="2e7d91" ResourceNotFoundException         ↓ GlobalExceptionHandler         ↓ HTTP 404         ↓ ApiErrorResponse</w:t>
      </w:r>
    </w:p>
    <w:p>
      <w:pPr>
        <w:pStyle w:val="BodyText"/>
      </w:pPr>
      <w:r>
        <w:t xml:space="preserve">De esta manera, los controllers no necesitan implementar individualmente el manejo de cada excepción.</w:t>
      </w:r>
    </w:p>
    <w:p>
      <w:pPr>
        <w:pStyle w:val="BodyText"/>
      </w:pPr>
      <w:r>
        <w:t xml:space="preserve">También facilita que el frontend pueda interpretar los errores de forma uniforme.</w:t>
      </w:r>
    </w:p>
    <w:p>
      <w:r>
        <w:pict>
          <v:rect style="width:0;height:1.5pt" o:hralign="center" o:hrstd="t" o:hr="t"/>
        </w:pict>
      </w:r>
    </w:p>
    <w:bookmarkEnd w:id="26"/>
    <w:bookmarkStart w:id="27" w:name="justificación-de-openapi"/>
    <w:p>
      <w:pPr>
        <w:pStyle w:val="Heading1"/>
      </w:pPr>
      <w:r>
        <w:t xml:space="preserve">3.16 Justificación de OpenAPI</w:t>
      </w:r>
    </w:p>
    <w:p>
      <w:pPr>
        <w:pStyle w:val="FirstParagraph"/>
      </w:pPr>
      <w:r>
        <w:t xml:space="preserve">Se incorporó documentación mediante</w:t>
      </w:r>
      <w:r>
        <w:t xml:space="preserve"> </w:t>
      </w:r>
      <w:r>
        <w:rPr>
          <w:b/>
          <w:bCs/>
        </w:rPr>
        <w:t xml:space="preserve">OpenAPI</w:t>
      </w:r>
      <w:r>
        <w:t xml:space="preserve"> </w:t>
      </w:r>
      <w:r>
        <w:t xml:space="preserve">para facilitar el consumo y validación de la API.</w:t>
      </w:r>
    </w:p>
    <w:p>
      <w:pPr>
        <w:pStyle w:val="BodyText"/>
      </w:pPr>
      <w:r>
        <w:t xml:space="preserve">La documentación describe:</w:t>
      </w:r>
    </w:p>
    <w:p>
      <w:pPr>
        <w:pStyle w:val="Compact"/>
        <w:numPr>
          <w:ilvl w:val="0"/>
          <w:numId w:val="1009"/>
        </w:numPr>
      </w:pPr>
      <w:r>
        <w:t xml:space="preserve">Endpoints.</w:t>
      </w:r>
    </w:p>
    <w:p>
      <w:pPr>
        <w:pStyle w:val="Compact"/>
        <w:numPr>
          <w:ilvl w:val="0"/>
          <w:numId w:val="1009"/>
        </w:numPr>
      </w:pPr>
      <w:r>
        <w:t xml:space="preserve">Métodos HTTP.</w:t>
      </w:r>
    </w:p>
    <w:p>
      <w:pPr>
        <w:pStyle w:val="Compact"/>
        <w:numPr>
          <w:ilvl w:val="0"/>
          <w:numId w:val="1009"/>
        </w:numPr>
      </w:pPr>
      <w:r>
        <w:t xml:space="preserve">Parámetros.</w:t>
      </w:r>
    </w:p>
    <w:p>
      <w:pPr>
        <w:pStyle w:val="Compact"/>
        <w:numPr>
          <w:ilvl w:val="0"/>
          <w:numId w:val="1009"/>
        </w:numPr>
      </w:pPr>
      <w:r>
        <w:t xml:space="preserve">Request bodies.</w:t>
      </w:r>
    </w:p>
    <w:p>
      <w:pPr>
        <w:pStyle w:val="Compact"/>
        <w:numPr>
          <w:ilvl w:val="0"/>
          <w:numId w:val="1009"/>
        </w:numPr>
      </w:pPr>
      <w:r>
        <w:t xml:space="preserve">Respuestas.</w:t>
      </w:r>
    </w:p>
    <w:p>
      <w:pPr>
        <w:pStyle w:val="Compact"/>
        <w:numPr>
          <w:ilvl w:val="0"/>
          <w:numId w:val="1009"/>
        </w:numPr>
      </w:pPr>
      <w:r>
        <w:t xml:space="preserve">Códigos HTTP.</w:t>
      </w:r>
    </w:p>
    <w:p>
      <w:pPr>
        <w:pStyle w:val="Compact"/>
        <w:numPr>
          <w:ilvl w:val="0"/>
          <w:numId w:val="1009"/>
        </w:numPr>
      </w:pPr>
      <w:r>
        <w:t xml:space="preserve">Modelos de datos.</w:t>
      </w:r>
    </w:p>
    <w:p>
      <w:pPr>
        <w:pStyle w:val="FirstParagraph"/>
      </w:pPr>
      <w:r>
        <w:t xml:space="preserve">Esto proporciona una referencia técnica para desarrolladores y facilita las pruebas manuales de los servicios.</w:t>
      </w:r>
    </w:p>
    <w:p>
      <w:r>
        <w:pict>
          <v:rect style="width:0;height:1.5pt" o:hralign="center" o:hrstd="t" o:hr="t"/>
        </w:pict>
      </w:r>
    </w:p>
    <w:bookmarkEnd w:id="27"/>
    <w:bookmarkStart w:id="28" w:name="justificación-de-netlify"/>
    <w:p>
      <w:pPr>
        <w:pStyle w:val="Heading1"/>
      </w:pPr>
      <w:r>
        <w:t xml:space="preserve">3.17 Justificación de Netlify</w:t>
      </w:r>
    </w:p>
    <w:p>
      <w:pPr>
        <w:pStyle w:val="FirstParagraph"/>
      </w:pPr>
      <w:r>
        <w:t xml:space="preserve">Se seleccionó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para alojar el frontend debido a que la aplicación React es un sitio web estático una vez realizada la compilación.</w:t>
      </w:r>
    </w:p>
    <w:p>
      <w:pPr>
        <w:pStyle w:val="BodyText"/>
      </w:pPr>
      <w:r>
        <w:t xml:space="preserve">El proceso general es:</w:t>
      </w:r>
    </w:p>
    <w:p>
      <w:pPr>
        <w:pStyle w:val="BodyText"/>
      </w:pPr>
      <w:r>
        <w:rPr>
          <w:rStyle w:val="VerbatimChar"/>
        </w:rPr>
        <w:t xml:space="preserve">text id="d4r1i9" React + TypeScript        │        ▼ npm run build        │        ▼ Archivos estáticos        │        ▼ Netlify        │        ▼ Internet</w:t>
      </w:r>
    </w:p>
    <w:p>
      <w:pPr>
        <w:pStyle w:val="BodyText"/>
      </w:pPr>
      <w:r>
        <w:t xml:space="preserve">El uso de un servicio administrado evita la necesidad de configurar y mantener manualmente un servidor web para el frontend.</w:t>
      </w:r>
    </w:p>
    <w:p>
      <w:pPr>
        <w:pStyle w:val="BodyText"/>
      </w:pPr>
      <w:r>
        <w:t xml:space="preserve">Además, el proyecto puede desplegarse independientemente del backend.</w:t>
      </w:r>
    </w:p>
    <w:p>
      <w:r>
        <w:pict>
          <v:rect style="width:0;height:1.5pt" o:hralign="center" o:hrstd="t" o:hr="t"/>
        </w:pict>
      </w:r>
    </w:p>
    <w:bookmarkEnd w:id="28"/>
    <w:bookmarkStart w:id="29" w:name="justificación-de-render"/>
    <w:p>
      <w:pPr>
        <w:pStyle w:val="Heading1"/>
      </w:pPr>
      <w:r>
        <w:t xml:space="preserve">3.18 Justificación de Render</w:t>
      </w:r>
    </w:p>
    <w:p>
      <w:pPr>
        <w:pStyle w:val="FirstParagraph"/>
      </w:pPr>
      <w:r>
        <w:t xml:space="preserve">Se seleccionó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para el despliegue del backend y PostgreSQL debido a que permite disponer de infraestructura administrada sin necesidad de configurar manualmente servidores.</w:t>
      </w:r>
    </w:p>
    <w:p>
      <w:pPr>
        <w:pStyle w:val="BodyText"/>
      </w:pPr>
      <w:r>
        <w:t xml:space="preserve">La distribución propuesta es:</w:t>
      </w:r>
    </w:p>
    <w:p>
      <w:pPr>
        <w:pStyle w:val="BodyText"/>
      </w:pPr>
      <w:r>
        <w:rPr>
          <w:rStyle w:val="VerbatimChar"/>
        </w:rPr>
        <w:t xml:space="preserve">text id="4qz5in" Netlify    │    │ HTTPS    ▼ Render Spring Boot    │    │ PostgreSQL    ▼ Render PostgreSQL</w:t>
      </w:r>
    </w:p>
    <w:p>
      <w:pPr>
        <w:pStyle w:val="BodyText"/>
      </w:pPr>
      <w:r>
        <w:t xml:space="preserve">Esta configuración permite mantener separados los componentes de presentación, lógica de negocio y persistencia.</w:t>
      </w:r>
    </w:p>
    <w:p>
      <w:pPr>
        <w:pStyle w:val="BodyText"/>
      </w:pPr>
      <w:r>
        <w:t xml:space="preserve">El tamaño y alcance del proyecto no justifican una infraestructura más compleja.</w:t>
      </w:r>
    </w:p>
    <w:p>
      <w:r>
        <w:pict>
          <v:rect style="width:0;height:1.5pt" o:hralign="center" o:hrstd="t" o:hr="t"/>
        </w:pict>
      </w:r>
    </w:p>
    <w:bookmarkEnd w:id="29"/>
    <w:bookmarkStart w:id="30" w:name="justificación-económica"/>
    <w:p>
      <w:pPr>
        <w:pStyle w:val="Heading1"/>
      </w:pPr>
      <w:r>
        <w:t xml:space="preserve">3.19 Justificación económica</w:t>
      </w:r>
    </w:p>
    <w:p>
      <w:pPr>
        <w:pStyle w:val="FirstParagraph"/>
      </w:pPr>
      <w:r>
        <w:t xml:space="preserve">Para una prueba técnica y una aplicación CRUD de baja demanda, se priorizó una infraestructura de bajo costo.</w:t>
      </w:r>
    </w:p>
    <w:p>
      <w:pPr>
        <w:pStyle w:val="BodyText"/>
      </w:pPr>
      <w:r>
        <w:t xml:space="preserve">La propuesta contempla:</w:t>
      </w:r>
    </w:p>
    <w:p>
      <w:pPr>
        <w:pStyle w:val="BodyText"/>
      </w:pPr>
      <w:r>
        <w:t xml:space="preserve">```text id=</w:t>
      </w:r>
      <w:r>
        <w:t xml:space="preserve">“1p7yzo”</w:t>
      </w:r>
      <w:r>
        <w:t xml:space="preserve"> </w:t>
      </w:r>
      <w:r>
        <w:t xml:space="preserve">Frontend</w:t>
      </w:r>
      <w:r>
        <w:t xml:space="preserve"> </w:t>
      </w:r>
      <w:r>
        <w:t xml:space="preserve">Netlify</w:t>
      </w:r>
      <w:r>
        <w:t xml:space="preserve"> </w:t>
      </w:r>
      <w:r>
        <w:t xml:space="preserve">Free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$0 USD</w:t>
      </w:r>
    </w:p>
    <w:p>
      <w:pPr>
        <w:pStyle w:val="BodyText"/>
      </w:pPr>
      <w:r>
        <w:t xml:space="preserve">Backend</w:t>
      </w:r>
      <w:r>
        <w:t xml:space="preserve"> </w:t>
      </w:r>
      <w:r>
        <w:t xml:space="preserve">Render</w:t>
      </w:r>
      <w:r>
        <w:t xml:space="preserve"> </w:t>
      </w:r>
      <w:r>
        <w:t xml:space="preserve">Basic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~$7 USD/mes</w:t>
      </w:r>
    </w:p>
    <w:p>
      <w:pPr>
        <w:pStyle w:val="BodyText"/>
      </w:pPr>
      <w:r>
        <w:t xml:space="preserve">Database</w:t>
      </w:r>
      <w:r>
        <w:t xml:space="preserve"> </w:t>
      </w:r>
      <w:r>
        <w:t xml:space="preserve">Render PostgreSQL</w:t>
      </w:r>
      <w:r>
        <w:t xml:space="preserve"> </w:t>
      </w:r>
      <w:r>
        <w:t xml:space="preserve">Basic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~$6 USD/mes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El costo estimado de infraestructura sería aproximadamente:</w:t>
      </w:r>
      <w:r>
        <w:br/>
      </w:r>
      <w:r>
        <w:br/>
      </w:r>
      <w:r>
        <w:rPr>
          <w:rStyle w:val="VerbatimChar"/>
        </w:rPr>
        <w:t xml:space="preserve">```text id="5g5vvr"</w:t>
      </w:r>
      <w:r>
        <w:br/>
      </w:r>
      <w:r>
        <w:rPr>
          <w:rStyle w:val="VerbatimChar"/>
        </w:rPr>
        <w:t xml:space="preserve">$13 USD / mes</w:t>
      </w:r>
    </w:p>
    <w:p>
      <w:pPr>
        <w:pStyle w:val="FirstParagraph"/>
      </w:pPr>
      <w:r>
        <w:t xml:space="preserve">Los costos definitivos deberán validarse con los precios vigentes de cada proveedor al momento de realizar el despliegue.</w:t>
      </w:r>
    </w:p>
    <w:p>
      <w:pPr>
        <w:pStyle w:val="BodyText"/>
      </w:pPr>
      <w:r>
        <w:t xml:space="preserve">La selección busca mantener una infraestructura suficiente para la demostración y operación de la aplicación sin incurrir en costos innecesarios.</w:t>
      </w:r>
    </w:p>
    <w:p>
      <w:r>
        <w:pict>
          <v:rect style="width:0;height:1.5pt" o:hralign="center" o:hrstd="t" o:hr="t"/>
        </w:pict>
      </w:r>
    </w:p>
    <w:bookmarkEnd w:id="30"/>
    <w:bookmarkStart w:id="31" w:name="justificación-de-git"/>
    <w:p>
      <w:pPr>
        <w:pStyle w:val="Heading1"/>
      </w:pPr>
      <w:r>
        <w:t xml:space="preserve">3.20 Justificación de Git</w:t>
      </w:r>
    </w:p>
    <w:p>
      <w:pPr>
        <w:pStyle w:val="FirstParagraph"/>
      </w:pPr>
      <w:r>
        <w:t xml:space="preserve">Se utiliza Git como sistema de control de versiones para mantener el historial de desarrollo del proyecto.</w:t>
      </w:r>
    </w:p>
    <w:p>
      <w:pPr>
        <w:pStyle w:val="BodyText"/>
      </w:pPr>
      <w:r>
        <w:t xml:space="preserve">El repositorio contiene de manera independiente:</w:t>
      </w:r>
    </w:p>
    <w:p>
      <w:pPr>
        <w:pStyle w:val="BodyText"/>
      </w:pPr>
      <w:r>
        <w:rPr>
          <w:rStyle w:val="VerbatimChar"/>
        </w:rPr>
        <w:t xml:space="preserve">text id="6tbqdm" back-end/ front-end/ docs/</w:t>
      </w:r>
    </w:p>
    <w:p>
      <w:pPr>
        <w:pStyle w:val="BodyText"/>
      </w:pPr>
      <w:r>
        <w:t xml:space="preserve">Esto permite mantener en un mismo repositorio:</w:t>
      </w:r>
    </w:p>
    <w:p>
      <w:pPr>
        <w:pStyle w:val="Compact"/>
        <w:numPr>
          <w:ilvl w:val="0"/>
          <w:numId w:val="1010"/>
        </w:numPr>
      </w:pPr>
      <w:r>
        <w:t xml:space="preserve">Código fuente.</w:t>
      </w:r>
    </w:p>
    <w:p>
      <w:pPr>
        <w:pStyle w:val="Compact"/>
        <w:numPr>
          <w:ilvl w:val="0"/>
          <w:numId w:val="1010"/>
        </w:numPr>
      </w:pPr>
      <w:r>
        <w:t xml:space="preserve">Pruebas.</w:t>
      </w:r>
    </w:p>
    <w:p>
      <w:pPr>
        <w:pStyle w:val="Compact"/>
        <w:numPr>
          <w:ilvl w:val="0"/>
          <w:numId w:val="1010"/>
        </w:numPr>
      </w:pPr>
      <w:r>
        <w:t xml:space="preserve">Configuración.</w:t>
      </w:r>
    </w:p>
    <w:p>
      <w:pPr>
        <w:pStyle w:val="Compact"/>
        <w:numPr>
          <w:ilvl w:val="0"/>
          <w:numId w:val="1010"/>
        </w:numPr>
      </w:pPr>
      <w:r>
        <w:t xml:space="preserve">Documentación.</w:t>
      </w:r>
    </w:p>
    <w:p>
      <w:pPr>
        <w:pStyle w:val="Compact"/>
        <w:numPr>
          <w:ilvl w:val="0"/>
          <w:numId w:val="1010"/>
        </w:numPr>
      </w:pPr>
      <w:r>
        <w:t xml:space="preserve">Entregables de la prueba técnica.</w:t>
      </w:r>
    </w:p>
    <w:p>
      <w:pPr>
        <w:pStyle w:val="FirstParagraph"/>
      </w:pPr>
      <w:r>
        <w:t xml:space="preserve">El control de versiones también permite identificar cambios, recuperar versiones anteriores y documentar la evolución del proyecto.</w:t>
      </w:r>
    </w:p>
    <w:p>
      <w:r>
        <w:pict>
          <v:rect style="width:0;height:1.5pt" o:hralign="center" o:hrstd="t" o:hr="t"/>
        </w:pict>
      </w:r>
    </w:p>
    <w:bookmarkEnd w:id="31"/>
    <w:bookmarkStart w:id="32" w:name="Xf4c1729c400aec93ec6aecd14e6792cf3db3e98"/>
    <w:p>
      <w:pPr>
        <w:pStyle w:val="Heading1"/>
      </w:pPr>
      <w:r>
        <w:t xml:space="preserve">3.21 Justificación de las pruebas automatizadas</w:t>
      </w:r>
    </w:p>
    <w:p>
      <w:pPr>
        <w:pStyle w:val="FirstParagraph"/>
      </w:pPr>
      <w:r>
        <w:t xml:space="preserve">Se implementaron pruebas automatizadas tanto para backend como para frontend.</w:t>
      </w:r>
    </w:p>
    <w:p>
      <w:pPr>
        <w:pStyle w:val="BodyText"/>
      </w:pPr>
      <w:r>
        <w:t xml:space="preserve">En backend se cubren diferentes capas:</w:t>
      </w:r>
    </w:p>
    <w:p>
      <w:pPr>
        <w:pStyle w:val="BodyText"/>
      </w:pPr>
      <w:r>
        <w:rPr>
          <w:rStyle w:val="VerbatimChar"/>
        </w:rPr>
        <w:t xml:space="preserve">text id="9m9qjj" Controller Service Mapper Utility</w:t>
      </w:r>
    </w:p>
    <w:p>
      <w:pPr>
        <w:pStyle w:val="BodyText"/>
      </w:pPr>
      <w:r>
        <w:t xml:space="preserve">En frontend se prueban:</w:t>
      </w:r>
    </w:p>
    <w:p>
      <w:pPr>
        <w:pStyle w:val="BodyText"/>
      </w:pPr>
      <w:r>
        <w:rPr>
          <w:rStyle w:val="VerbatimChar"/>
        </w:rPr>
        <w:t xml:space="preserve">text id="5m4d7h" API Services Components Pages</w:t>
      </w:r>
    </w:p>
    <w:p>
      <w:pPr>
        <w:pStyle w:val="BodyText"/>
      </w:pPr>
      <w:r>
        <w:t xml:space="preserve">La estrategia busca validar tanto la lógica interna como el comportamiento de las funcionalidades principales de la aplicación.</w:t>
      </w:r>
    </w:p>
    <w:p>
      <w:pPr>
        <w:pStyle w:val="BodyText"/>
      </w:pPr>
      <w:r>
        <w:t xml:space="preserve">La separación de responsabilidades implementada en la arquitectura facilita este tipo de pruebas.</w:t>
      </w:r>
    </w:p>
    <w:p>
      <w:r>
        <w:pict>
          <v:rect style="width:0;height:1.5pt" o:hralign="center" o:hrstd="t" o:hr="t"/>
        </w:pict>
      </w:r>
    </w:p>
    <w:bookmarkEnd w:id="32"/>
    <w:bookmarkStart w:id="33" w:name="decisiones-no-adoptadas"/>
    <w:p>
      <w:pPr>
        <w:pStyle w:val="Heading1"/>
      </w:pPr>
      <w:r>
        <w:t xml:space="preserve">3.22 Decisiones no adoptadas</w:t>
      </w:r>
    </w:p>
    <w:p>
      <w:pPr>
        <w:pStyle w:val="FirstParagraph"/>
      </w:pPr>
      <w:r>
        <w:t xml:space="preserve">Durante el diseño se decidió no incorporar tecnologías o patrones que agregarían complejidad sin aportar un beneficio proporcional al alcance de la prueba.</w:t>
      </w:r>
    </w:p>
    <w:p>
      <w:pPr>
        <w:pStyle w:val="BodyText"/>
      </w:pPr>
      <w:r>
        <w:t xml:space="preserve">No se implementaron:</w:t>
      </w:r>
    </w:p>
    <w:p>
      <w:pPr>
        <w:pStyle w:val="Compact"/>
        <w:numPr>
          <w:ilvl w:val="0"/>
          <w:numId w:val="1011"/>
        </w:numPr>
      </w:pPr>
      <w:r>
        <w:t xml:space="preserve">Microservicios.</w:t>
      </w:r>
    </w:p>
    <w:p>
      <w:pPr>
        <w:pStyle w:val="Compact"/>
        <w:numPr>
          <w:ilvl w:val="0"/>
          <w:numId w:val="1011"/>
        </w:numPr>
      </w:pPr>
      <w:r>
        <w:t xml:space="preserve">Kubernetes.</w:t>
      </w:r>
    </w:p>
    <w:p>
      <w:pPr>
        <w:pStyle w:val="Compact"/>
        <w:numPr>
          <w:ilvl w:val="0"/>
          <w:numId w:val="1011"/>
        </w:numPr>
      </w:pPr>
      <w:r>
        <w:t xml:space="preserve">Kafka.</w:t>
      </w:r>
    </w:p>
    <w:p>
      <w:pPr>
        <w:pStyle w:val="Compact"/>
        <w:numPr>
          <w:ilvl w:val="0"/>
          <w:numId w:val="1011"/>
        </w:numPr>
      </w:pPr>
      <w:r>
        <w:t xml:space="preserve">Redis.</w:t>
      </w:r>
    </w:p>
    <w:p>
      <w:pPr>
        <w:pStyle w:val="Compact"/>
        <w:numPr>
          <w:ilvl w:val="0"/>
          <w:numId w:val="1011"/>
        </w:numPr>
      </w:pPr>
      <w:r>
        <w:t xml:space="preserve">Un sistema de autenticación completo.</w:t>
      </w:r>
    </w:p>
    <w:p>
      <w:pPr>
        <w:pStyle w:val="Compact"/>
        <w:numPr>
          <w:ilvl w:val="0"/>
          <w:numId w:val="1011"/>
        </w:numPr>
      </w:pPr>
      <w:r>
        <w:t xml:space="preserve">Un API Gateway independiente.</w:t>
      </w:r>
    </w:p>
    <w:p>
      <w:pPr>
        <w:pStyle w:val="Compact"/>
        <w:numPr>
          <w:ilvl w:val="0"/>
          <w:numId w:val="1011"/>
        </w:numPr>
      </w:pPr>
      <w:r>
        <w:t xml:space="preserve">Elasticsearch.</w:t>
      </w:r>
    </w:p>
    <w:p>
      <w:pPr>
        <w:pStyle w:val="Compact"/>
        <w:numPr>
          <w:ilvl w:val="0"/>
          <w:numId w:val="1011"/>
        </w:numPr>
      </w:pPr>
      <w:r>
        <w:t xml:space="preserve">Infraestructura cloud compleja.</w:t>
      </w:r>
    </w:p>
    <w:p>
      <w:pPr>
        <w:pStyle w:val="FirstParagraph"/>
      </w:pPr>
      <w:r>
        <w:t xml:space="preserve">La decisión responde al principio de mantener la solución proporcional al problema.</w:t>
      </w:r>
    </w:p>
    <w:p>
      <w:pPr>
        <w:pStyle w:val="BodyText"/>
      </w:pPr>
      <w:r>
        <w:t xml:space="preserve">Para una aplicación CRUD de catálogo con baja demanda, una aplicación Spring Boot modular y una base de datos PostgreSQL resultan suficientes para cumplir los requerimientos.</w:t>
      </w:r>
    </w:p>
    <w:p>
      <w:pPr>
        <w:pStyle w:val="BodyText"/>
      </w:pPr>
      <w:r>
        <w:t xml:space="preserve">La incorporación de tecnologías adicionales podría aumentar los costos operativos, la complejidad de despliegue y el esfuerzo de mantenimiento sin ser necesaria para los objetivos de la prueba.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ón"/>
    <w:p>
      <w:pPr>
        <w:pStyle w:val="Heading1"/>
      </w:pPr>
      <w:r>
        <w:t xml:space="preserve">3.23 Conclusión</w:t>
      </w:r>
    </w:p>
    <w:p>
      <w:pPr>
        <w:pStyle w:val="FirstParagraph"/>
      </w:pPr>
      <w:r>
        <w:t xml:space="preserve">La solución tecnológica seleccionada permite cumplir los requerimientos funcionales de la aplicación manteniendo una arquitectura clara y fácilmente mantenible.</w:t>
      </w:r>
    </w:p>
    <w:p>
      <w:pPr>
        <w:pStyle w:val="BodyText"/>
      </w:pPr>
      <w:r>
        <w:t xml:space="preserve">La combinación de</w:t>
      </w:r>
      <w:r>
        <w:t xml:space="preserve"> </w:t>
      </w:r>
      <w:r>
        <w:rPr>
          <w:b/>
          <w:bCs/>
        </w:rPr>
        <w:t xml:space="preserve">React + TypeScript</w:t>
      </w:r>
      <w:r>
        <w:t xml:space="preserve">,</w:t>
      </w:r>
      <w:r>
        <w:t xml:space="preserve"> </w:t>
      </w:r>
      <w:r>
        <w:rPr>
          <w:b/>
          <w:bCs/>
        </w:rPr>
        <w:t xml:space="preserve">Spring Boot + Java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proporciona una separación adecuada entre presentación, lógica de negocio y persistencia.</w:t>
      </w:r>
    </w:p>
    <w:p>
      <w:pPr>
        <w:pStyle w:val="BodyText"/>
      </w:pPr>
      <w:r>
        <w:t xml:space="preserve">El uso de DTOs, mappers, repositories, manejo centralizado de excepciones, validaciones, índices y pruebas automatizadas permite mantener una estructura organizada y preparada para futuras extensiones.</w:t>
      </w:r>
    </w:p>
    <w:p>
      <w:pPr>
        <w:pStyle w:val="BodyText"/>
      </w:pPr>
      <w:r>
        <w:t xml:space="preserve">Finalmente, la utilización de</w:t>
      </w:r>
      <w:r>
        <w:t xml:space="preserve"> </w:t>
      </w:r>
      <w:r>
        <w:rPr>
          <w:b/>
          <w:bCs/>
        </w:rPr>
        <w:t xml:space="preserve">Netlify y Render</w:t>
      </w:r>
      <w:r>
        <w:t xml:space="preserve"> </w:t>
      </w:r>
      <w:r>
        <w:t xml:space="preserve">permite desplegar la solución utilizando infraestructura administrada y de bajo costo, manteniendo separados los componentes principales del sistema.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