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80"/>
        <w:jc w:val="center"/>
      </w:pPr>
      <w:r>
        <w:rPr>
          <w:b/>
          <w:color w:val="0F4C81"/>
          <w:sz w:val="44"/>
        </w:rPr>
        <w:t>PROGRAMACIÓN DIDÁCTICA</w:t>
      </w:r>
    </w:p>
    <w:p>
      <w:pPr>
        <w:spacing w:before="0" w:after="160"/>
        <w:jc w:val="center"/>
      </w:pPr>
      <w:r>
        <w:rPr>
          <w:b/>
          <w:color w:val="0D9488"/>
          <w:sz w:val="26"/>
        </w:rPr>
        <w:t>Módulo Profesional: Desarrollo de Interfaces (Código 0488)</w:t>
      </w:r>
    </w:p>
    <w:p>
      <w:pPr>
        <w:spacing w:before="0" w:after="320"/>
        <w:jc w:val="center"/>
      </w:pPr>
      <w:r>
        <w:rPr>
          <w:color w:val="4B5563"/>
          <w:sz w:val="22"/>
        </w:rPr>
        <w:t>Ciclo Formativo de Grado Superior: Desarrollo de Aplicaciones Multiplataforma (DAM)</w:t>
        <w:br/>
        <w:t>Segundo Curso · Familia Profesional: Informática y Comunicaciones</w:t>
        <w:br/>
        <w:t>Comunidad Autónoma de Andalucía · Curso Académico 2025 / 2026</w:t>
      </w:r>
    </w:p>
    <w:tbl>
      <w:tblPr>
        <w:tblW w:type="auto" w:w="0"/>
        <w:jc w:val="center"/>
        <w:tblLayout w:type="fixed"/>
        <w:tblLook w:firstColumn="1" w:firstRow="1" w:lastColumn="0" w:lastRow="0" w:noHBand="0" w:noVBand="1" w:val="04A0"/>
        <w:tblBorders>
          <w:top w:val="single" w:sz="4" w:space="0" w:color="D1D5DB"/>
          <w:bottom w:val="single" w:sz="4" w:space="0" w:color="D1D5DB"/>
          <w:left w:val="none"/>
          <w:right w:val="none"/>
          <w:insideH w:val="single" w:sz="4" w:space="0" w:color="D1D5DB"/>
          <w:insideV w:val="none"/>
        </w:tblBorders>
      </w:tblPr>
      <w:tblGrid>
        <w:gridCol w:w="4824"/>
        <w:gridCol w:w="4824"/>
      </w:tblGrid>
      <w:tr>
        <w:tc>
          <w:tcPr>
            <w:tcW w:type="dxa" w:w="3312"/>
            <w:shd w:fill="0F4C81"/>
            <w:tcMar>
              <w:top w:w="120" w:type="dxa"/>
              <w:bottom w:w="120" w:type="dxa"/>
              <w:left w:w="140" w:type="dxa"/>
              <w:right w:w="140" w:type="dxa"/>
            </w:tcMar>
          </w:tcPr>
          <w:p>
            <w:pPr>
              <w:spacing w:before="0" w:after="0"/>
            </w:pPr>
            <w:r>
              <w:rPr>
                <w:rFonts w:ascii="Calibri" w:hAnsi="Calibri"/>
                <w:b/>
                <w:color w:val="FFFFFF"/>
                <w:sz w:val="19"/>
              </w:rPr>
              <w:t>Elemento</w:t>
            </w:r>
          </w:p>
        </w:tc>
        <w:tc>
          <w:tcPr>
            <w:tcW w:type="dxa" w:w="6336"/>
            <w:shd w:fill="0F4C81"/>
            <w:tcMar>
              <w:top w:w="120" w:type="dxa"/>
              <w:bottom w:w="120" w:type="dxa"/>
              <w:left w:w="140" w:type="dxa"/>
              <w:right w:w="140" w:type="dxa"/>
            </w:tcMar>
          </w:tcPr>
          <w:p>
            <w:pPr>
              <w:spacing w:before="0" w:after="0"/>
            </w:pPr>
            <w:r>
              <w:rPr>
                <w:rFonts w:ascii="Calibri" w:hAnsi="Calibri"/>
                <w:b/>
                <w:color w:val="FFFFFF"/>
                <w:sz w:val="19"/>
              </w:rPr>
              <w:t>Especificación y Datos del Módulo</w:t>
            </w:r>
          </w:p>
        </w:tc>
      </w:tr>
      <w:tr>
        <w:tc>
          <w:tcPr>
            <w:tcW w:type="dxa" w:w="3312"/>
            <w:shd w:fill="FFFFFF"/>
            <w:tcMar>
              <w:top w:w="100" w:type="dxa"/>
              <w:bottom w:w="100" w:type="dxa"/>
              <w:left w:w="140" w:type="dxa"/>
              <w:right w:w="140" w:type="dxa"/>
            </w:tcMar>
          </w:tcPr>
          <w:p>
            <w:pPr>
              <w:spacing w:before="0" w:after="0" w:line="264" w:lineRule="auto"/>
            </w:pPr>
            <w:r>
              <w:rPr>
                <w:rFonts w:ascii="Calibri" w:hAnsi="Calibri"/>
                <w:color w:val="1F2937"/>
                <w:sz w:val="18"/>
              </w:rPr>
              <w:t>Denominación oficial</w:t>
            </w:r>
          </w:p>
        </w:tc>
        <w:tc>
          <w:tcPr>
            <w:tcW w:type="dxa" w:w="6336"/>
            <w:shd w:fill="FFFFFF"/>
            <w:tcMar>
              <w:top w:w="100" w:type="dxa"/>
              <w:bottom w:w="100" w:type="dxa"/>
              <w:left w:w="140" w:type="dxa"/>
              <w:right w:w="140" w:type="dxa"/>
            </w:tcMar>
          </w:tcPr>
          <w:p>
            <w:pPr>
              <w:spacing w:before="0" w:after="0" w:line="264" w:lineRule="auto"/>
            </w:pPr>
            <w:r>
              <w:rPr>
                <w:rFonts w:ascii="Calibri" w:hAnsi="Calibri"/>
                <w:color w:val="1F2937"/>
                <w:sz w:val="18"/>
              </w:rPr>
              <w:t>Desarrollo de Interfaces</w:t>
            </w:r>
          </w:p>
        </w:tc>
      </w:tr>
      <w:tr>
        <w:tc>
          <w:tcPr>
            <w:tcW w:type="dxa" w:w="3312"/>
            <w:shd w:fill="F9FAFB"/>
            <w:tcMar>
              <w:top w:w="100" w:type="dxa"/>
              <w:bottom w:w="100" w:type="dxa"/>
              <w:left w:w="140" w:type="dxa"/>
              <w:right w:w="140" w:type="dxa"/>
            </w:tcMar>
          </w:tcPr>
          <w:p>
            <w:pPr>
              <w:spacing w:before="0" w:after="0" w:line="264" w:lineRule="auto"/>
            </w:pPr>
            <w:r>
              <w:rPr>
                <w:rFonts w:ascii="Calibri" w:hAnsi="Calibri"/>
                <w:color w:val="1F2937"/>
                <w:sz w:val="18"/>
              </w:rPr>
              <w:t>Código oficial del módulo</w:t>
            </w:r>
          </w:p>
        </w:tc>
        <w:tc>
          <w:tcPr>
            <w:tcW w:type="dxa" w:w="6336"/>
            <w:shd w:fill="F9FAFB"/>
            <w:tcMar>
              <w:top w:w="100" w:type="dxa"/>
              <w:bottom w:w="100" w:type="dxa"/>
              <w:left w:w="140" w:type="dxa"/>
              <w:right w:w="140" w:type="dxa"/>
            </w:tcMar>
          </w:tcPr>
          <w:p>
            <w:pPr>
              <w:spacing w:before="0" w:after="0" w:line="264" w:lineRule="auto"/>
            </w:pPr>
            <w:r>
              <w:rPr>
                <w:rFonts w:ascii="Calibri" w:hAnsi="Calibri"/>
                <w:color w:val="1F2937"/>
                <w:sz w:val="18"/>
              </w:rPr>
              <w:t>0488 (Real Decreto 450/2010, Real Decreto 686/2010 y Orden de 16 de junio de 2011)</w:t>
            </w:r>
          </w:p>
        </w:tc>
      </w:tr>
      <w:tr>
        <w:tc>
          <w:tcPr>
            <w:tcW w:type="dxa" w:w="3312"/>
            <w:shd w:fill="FFFFFF"/>
            <w:tcMar>
              <w:top w:w="100" w:type="dxa"/>
              <w:bottom w:w="100" w:type="dxa"/>
              <w:left w:w="140" w:type="dxa"/>
              <w:right w:w="140" w:type="dxa"/>
            </w:tcMar>
          </w:tcPr>
          <w:p>
            <w:pPr>
              <w:spacing w:before="0" w:after="0" w:line="264" w:lineRule="auto"/>
            </w:pPr>
            <w:r>
              <w:rPr>
                <w:rFonts w:ascii="Calibri" w:hAnsi="Calibri"/>
                <w:color w:val="1F2937"/>
                <w:sz w:val="18"/>
              </w:rPr>
              <w:t>Ciclo formativo y curso</w:t>
            </w:r>
          </w:p>
        </w:tc>
        <w:tc>
          <w:tcPr>
            <w:tcW w:type="dxa" w:w="6336"/>
            <w:shd w:fill="FFFFFF"/>
            <w:tcMar>
              <w:top w:w="100" w:type="dxa"/>
              <w:bottom w:w="100" w:type="dxa"/>
              <w:left w:w="140" w:type="dxa"/>
              <w:right w:w="140" w:type="dxa"/>
            </w:tcMar>
          </w:tcPr>
          <w:p>
            <w:pPr>
              <w:spacing w:before="0" w:after="0" w:line="264" w:lineRule="auto"/>
            </w:pPr>
            <w:r>
              <w:rPr>
                <w:rFonts w:ascii="Calibri" w:hAnsi="Calibri"/>
                <w:color w:val="1F2937"/>
                <w:sz w:val="18"/>
              </w:rPr>
              <w:t>2º curso de Técnico Superior en Desarrollo de Aplicaciones Multiplataforma (DAM)</w:t>
            </w:r>
          </w:p>
        </w:tc>
      </w:tr>
      <w:tr>
        <w:tc>
          <w:tcPr>
            <w:tcW w:type="dxa" w:w="3312"/>
            <w:shd w:fill="F9FAFB"/>
            <w:tcMar>
              <w:top w:w="100" w:type="dxa"/>
              <w:bottom w:w="100" w:type="dxa"/>
              <w:left w:w="140" w:type="dxa"/>
              <w:right w:w="140" w:type="dxa"/>
            </w:tcMar>
          </w:tcPr>
          <w:p>
            <w:pPr>
              <w:spacing w:before="0" w:after="0" w:line="264" w:lineRule="auto"/>
            </w:pPr>
            <w:r>
              <w:rPr>
                <w:rFonts w:ascii="Calibri" w:hAnsi="Calibri"/>
                <w:color w:val="1F2937"/>
                <w:sz w:val="18"/>
              </w:rPr>
              <w:t>Carga horaria total</w:t>
            </w:r>
          </w:p>
        </w:tc>
        <w:tc>
          <w:tcPr>
            <w:tcW w:type="dxa" w:w="6336"/>
            <w:shd w:fill="F9FAFB"/>
            <w:tcMar>
              <w:top w:w="100" w:type="dxa"/>
              <w:bottom w:w="100" w:type="dxa"/>
              <w:left w:w="140" w:type="dxa"/>
              <w:right w:w="140" w:type="dxa"/>
            </w:tcMar>
          </w:tcPr>
          <w:p>
            <w:pPr>
              <w:spacing w:before="0" w:after="0" w:line="264" w:lineRule="auto"/>
            </w:pPr>
            <w:r>
              <w:rPr>
                <w:rFonts w:ascii="Calibri" w:hAnsi="Calibri"/>
                <w:color w:val="1F2937"/>
                <w:sz w:val="18"/>
              </w:rPr>
              <w:t>210 horas totales (6 horas semanales en periodo lectivo en centro + fase dual en empresa)</w:t>
            </w:r>
          </w:p>
        </w:tc>
      </w:tr>
      <w:tr>
        <w:tc>
          <w:tcPr>
            <w:tcW w:type="dxa" w:w="3312"/>
            <w:shd w:fill="FFFFFF"/>
            <w:tcMar>
              <w:top w:w="100" w:type="dxa"/>
              <w:bottom w:w="100" w:type="dxa"/>
              <w:left w:w="140" w:type="dxa"/>
              <w:right w:w="140" w:type="dxa"/>
            </w:tcMar>
          </w:tcPr>
          <w:p>
            <w:pPr>
              <w:spacing w:before="0" w:after="0" w:line="264" w:lineRule="auto"/>
            </w:pPr>
            <w:r>
              <w:rPr>
                <w:rFonts w:ascii="Calibri" w:hAnsi="Calibri"/>
                <w:color w:val="1F2937"/>
                <w:sz w:val="18"/>
              </w:rPr>
              <w:t>Equivalencia crediticia</w:t>
            </w:r>
          </w:p>
        </w:tc>
        <w:tc>
          <w:tcPr>
            <w:tcW w:type="dxa" w:w="6336"/>
            <w:shd w:fill="FFFFFF"/>
            <w:tcMar>
              <w:top w:w="100" w:type="dxa"/>
              <w:bottom w:w="100" w:type="dxa"/>
              <w:left w:w="140" w:type="dxa"/>
              <w:right w:w="140" w:type="dxa"/>
            </w:tcMar>
          </w:tcPr>
          <w:p>
            <w:pPr>
              <w:spacing w:before="0" w:after="0" w:line="264" w:lineRule="auto"/>
            </w:pPr>
            <w:r>
              <w:rPr>
                <w:rFonts w:ascii="Calibri" w:hAnsi="Calibri"/>
                <w:color w:val="1F2937"/>
                <w:sz w:val="18"/>
              </w:rPr>
              <w:t>10 créditos ECTS (Grado Superior)</w:t>
            </w:r>
          </w:p>
        </w:tc>
      </w:tr>
      <w:tr>
        <w:tc>
          <w:tcPr>
            <w:tcW w:type="dxa" w:w="3312"/>
            <w:shd w:fill="F9FAFB"/>
            <w:tcMar>
              <w:top w:w="100" w:type="dxa"/>
              <w:bottom w:w="100" w:type="dxa"/>
              <w:left w:w="140" w:type="dxa"/>
              <w:right w:w="140" w:type="dxa"/>
            </w:tcMar>
          </w:tcPr>
          <w:p>
            <w:pPr>
              <w:spacing w:before="0" w:after="0" w:line="264" w:lineRule="auto"/>
            </w:pPr>
            <w:r>
              <w:rPr>
                <w:rFonts w:ascii="Calibri" w:hAnsi="Calibri"/>
                <w:color w:val="1F2937"/>
                <w:sz w:val="18"/>
              </w:rPr>
              <w:t>Régimen de impartición</w:t>
            </w:r>
          </w:p>
        </w:tc>
        <w:tc>
          <w:tcPr>
            <w:tcW w:type="dxa" w:w="6336"/>
            <w:shd w:fill="F9FAFB"/>
            <w:tcMar>
              <w:top w:w="100" w:type="dxa"/>
              <w:bottom w:w="100" w:type="dxa"/>
              <w:left w:w="140" w:type="dxa"/>
              <w:right w:w="140" w:type="dxa"/>
            </w:tcMar>
          </w:tcPr>
          <w:p>
            <w:pPr>
              <w:spacing w:before="0" w:after="0" w:line="264" w:lineRule="auto"/>
            </w:pPr>
            <w:r>
              <w:rPr>
                <w:rFonts w:ascii="Calibri" w:hAnsi="Calibri"/>
                <w:color w:val="1F2937"/>
                <w:sz w:val="18"/>
              </w:rPr>
              <w:t>Formación Profesional Grado D - Régimen Dual General (400 h totales de empresa en 2º curso, con 86 h vinculadas a DI)</w:t>
            </w:r>
          </w:p>
        </w:tc>
      </w:tr>
      <w:tr>
        <w:tc>
          <w:tcPr>
            <w:tcW w:type="dxa" w:w="3312"/>
            <w:shd w:fill="FFFFFF"/>
            <w:tcMar>
              <w:top w:w="100" w:type="dxa"/>
              <w:bottom w:w="100" w:type="dxa"/>
              <w:left w:w="140" w:type="dxa"/>
              <w:right w:w="140" w:type="dxa"/>
            </w:tcMar>
          </w:tcPr>
          <w:p>
            <w:pPr>
              <w:spacing w:before="0" w:after="0" w:line="264" w:lineRule="auto"/>
            </w:pPr>
            <w:r>
              <w:rPr>
                <w:rFonts w:ascii="Calibri" w:hAnsi="Calibri"/>
                <w:color w:val="1F2937"/>
                <w:sz w:val="18"/>
              </w:rPr>
              <w:t>Departamento didáctico</w:t>
            </w:r>
          </w:p>
        </w:tc>
        <w:tc>
          <w:tcPr>
            <w:tcW w:type="dxa" w:w="6336"/>
            <w:shd w:fill="FFFFFF"/>
            <w:tcMar>
              <w:top w:w="100" w:type="dxa"/>
              <w:bottom w:w="100" w:type="dxa"/>
              <w:left w:w="140" w:type="dxa"/>
              <w:right w:w="140" w:type="dxa"/>
            </w:tcMar>
          </w:tcPr>
          <w:p>
            <w:pPr>
              <w:spacing w:before="0" w:after="0" w:line="264" w:lineRule="auto"/>
            </w:pPr>
            <w:r>
              <w:rPr>
                <w:rFonts w:ascii="Calibri" w:hAnsi="Calibri"/>
                <w:color w:val="1F2937"/>
                <w:sz w:val="18"/>
              </w:rPr>
              <w:t>Departamento de Informática y Comunicaciones</w:t>
            </w:r>
          </w:p>
        </w:tc>
      </w:tr>
      <w:tr>
        <w:tc>
          <w:tcPr>
            <w:tcW w:type="dxa" w:w="3312"/>
            <w:shd w:fill="F9FAFB"/>
            <w:tcMar>
              <w:top w:w="100" w:type="dxa"/>
              <w:bottom w:w="100" w:type="dxa"/>
              <w:left w:w="140" w:type="dxa"/>
              <w:right w:w="140" w:type="dxa"/>
            </w:tcMar>
          </w:tcPr>
          <w:p>
            <w:pPr>
              <w:spacing w:before="0" w:after="0" w:line="264" w:lineRule="auto"/>
            </w:pPr>
            <w:r>
              <w:rPr>
                <w:rFonts w:ascii="Calibri" w:hAnsi="Calibri"/>
                <w:color w:val="1F2937"/>
                <w:sz w:val="18"/>
              </w:rPr>
              <w:t>Repositorio y Materiales de aula</w:t>
            </w:r>
          </w:p>
        </w:tc>
        <w:tc>
          <w:tcPr>
            <w:tcW w:type="dxa" w:w="6336"/>
            <w:shd w:fill="F9FAFB"/>
            <w:tcMar>
              <w:top w:w="100" w:type="dxa"/>
              <w:bottom w:w="100" w:type="dxa"/>
              <w:left w:w="140" w:type="dxa"/>
              <w:right w:w="140" w:type="dxa"/>
            </w:tcMar>
          </w:tcPr>
          <w:p>
            <w:pPr>
              <w:spacing w:before="0" w:after="0" w:line="264" w:lineRule="auto"/>
            </w:pPr>
            <w:r>
              <w:rPr>
                <w:rFonts w:ascii="Calibri" w:hAnsi="Calibri"/>
                <w:color w:val="1F2937"/>
                <w:sz w:val="18"/>
              </w:rPr>
              <w:t>Carpeta digital del módulo: 23 unidades temáticas de apuntes y proyecto integral GesFlow en docs/</w:t>
            </w:r>
          </w:p>
        </w:tc>
      </w:tr>
    </w:tbl>
    <w:p>
      <w:pPr>
        <w:spacing w:before="40" w:after="80"/>
      </w:pPr>
    </w:p>
    <w:p>
      <w:pPr>
        <w:keepNext/>
        <w:spacing w:before="360" w:after="120"/>
      </w:pPr>
      <w:r>
        <w:rPr>
          <w:rFonts w:ascii="Calibri" w:hAnsi="Calibri"/>
          <w:b/>
          <w:color w:val="0F4C81"/>
          <w:sz w:val="29"/>
        </w:rPr>
        <w:t>1. INTRODUCCIÓN Y JUSTIFICACIÓN PEDAGÓGICA DEL MÓDULO</w:t>
      </w:r>
    </w:p>
    <w:p>
      <w:pPr>
        <w:spacing w:before="0" w:after="80" w:line="276" w:lineRule="auto"/>
      </w:pPr>
      <w:r>
        <w:rPr>
          <w:rFonts w:ascii="Calibri" w:hAnsi="Calibri"/>
          <w:color w:val="1F2937"/>
          <w:sz w:val="20"/>
        </w:rPr>
        <w:t>El módulo profesional de Desarrollo de Interfaces (Código 0488) se imparte en el segundo curso del Ciclo Formativo de Grado Superior de Desarrollo de Aplicaciones Multiplataforma (DAM), con una carga lectiva de 210 horas totales (a razón de 6 horas semanales durante el periodo lectivo en el centro educativo complementado con la fase de formación en empresa).</w:t>
      </w:r>
    </w:p>
    <w:p>
      <w:pPr>
        <w:spacing w:before="0" w:after="80" w:line="276" w:lineRule="auto"/>
      </w:pPr>
      <w:r>
        <w:rPr>
          <w:rFonts w:ascii="Calibri" w:hAnsi="Calibri"/>
          <w:color w:val="1F2937"/>
          <w:sz w:val="20"/>
        </w:rPr>
        <w:t>En la ingeniería de software multiplataforma moderna, el desarrollo de interfaces abarca desde la concepción UX y diseño en Figma, pasando por la creación de componentes visuales reactivos y accesibles, la integración de Interfaces Naturales de Usuario (NUI: voz, visión por computador, gestos y realidad aumentada), hasta la generación de informes empresariales, la construcción de paneles de control (dashboards), el testing automatizado, la documentación técnica y el empaquetado/distribución de aplicaciones de escritorio multiplataforma (Electron/Angular).</w:t>
      </w:r>
    </w:p>
    <w:tbl>
      <w:tblPr>
        <w:tblW w:type="auto" w:w="0"/>
        <w:jc w:val="center"/>
        <w:tblLayout w:type="fixed"/>
        <w:tblLook w:firstColumn="1" w:firstRow="1" w:lastColumn="0" w:lastRow="0" w:noHBand="0" w:noVBand="1" w:val="04A0"/>
      </w:tblPr>
      <w:tblGrid>
        <w:gridCol w:w="9648"/>
      </w:tblGrid>
      <w:tr>
        <w:tc>
          <w:tcPr>
            <w:tcW w:type="dxa" w:w="9648"/>
            <w:shd w:fill="F0FDF4"/>
            <w:tcMar>
              <w:top w:w="140" w:type="dxa"/>
              <w:bottom w:w="140" w:type="dxa"/>
              <w:left w:w="200" w:type="dxa"/>
              <w:right w:w="200" w:type="dxa"/>
            </w:tcMar>
            <w:tcBorders>
              <w:top w:val="none"/>
              <w:left w:val="single" w:sz="24" w:space="0" w:color="16A34A"/>
              <w:bottom w:val="none"/>
              <w:right w:val="none"/>
            </w:tcBorders>
          </w:tcPr>
          <w:p>
            <w:pPr>
              <w:spacing w:before="40" w:after="80" w:line="276" w:lineRule="auto"/>
            </w:pPr>
            <w:r>
              <w:rPr>
                <w:rFonts w:ascii="Calibri" w:hAnsi="Calibri"/>
                <w:b/>
                <w:color w:val="166534"/>
                <w:sz w:val="20"/>
              </w:rPr>
              <w:t>📌 Propósito Formativo y Competencial de Desarrollo de Interfaces</w:t>
              <w:br/>
            </w:r>
            <w:r>
              <w:rPr>
                <w:rFonts w:ascii="Calibri" w:hAnsi="Calibri"/>
                <w:color w:val="1F2937"/>
                <w:sz w:val="19"/>
              </w:rPr>
              <w:t>El módulo capacita al futuro Técnico Superior en DAM para:</w:t>
            </w:r>
          </w:p>
          <w:p>
            <w:pPr>
              <w:spacing w:before="40" w:after="40" w:line="276" w:lineRule="auto"/>
            </w:pPr>
            <w:r>
              <w:rPr>
                <w:rFonts w:ascii="Calibri" w:hAnsi="Calibri"/>
                <w:color w:val="1F2937"/>
                <w:sz w:val="19"/>
              </w:rPr>
              <w:t>1. Diseñar interfaces y sistemas de diseño profesionales en Figma con Auto Layout y Design Tokens sincronizados con el código.</w:t>
            </w:r>
          </w:p>
          <w:p>
            <w:pPr>
              <w:spacing w:before="40" w:after="40" w:line="276" w:lineRule="auto"/>
            </w:pPr>
            <w:r>
              <w:rPr>
                <w:rFonts w:ascii="Calibri" w:hAnsi="Calibri"/>
                <w:color w:val="1F2937"/>
                <w:sz w:val="19"/>
              </w:rPr>
              <w:t>2. Maquetar con HTML5 semántico, CSS moderno avanzado, Flexbox, Grid y frameworks utility-first (Tailwind CSS 4).</w:t>
            </w:r>
          </w:p>
          <w:p>
            <w:pPr>
              <w:spacing w:before="40" w:after="40" w:line="276" w:lineRule="auto"/>
            </w:pPr>
            <w:r>
              <w:rPr>
                <w:rFonts w:ascii="Calibri" w:hAnsi="Calibri"/>
                <w:color w:val="1F2937"/>
                <w:sz w:val="19"/>
              </w:rPr>
              <w:t>3. Desarrollar componentes visuales reutilizables y reactivos mediante Angular Standalone, Signals, Reactive Forms y documentarlos en Storybook.</w:t>
            </w:r>
          </w:p>
          <w:p>
            <w:pPr>
              <w:spacing w:before="40" w:after="40" w:line="276" w:lineRule="auto"/>
            </w:pPr>
            <w:r>
              <w:rPr>
                <w:rFonts w:ascii="Calibri" w:hAnsi="Calibri"/>
                <w:color w:val="1F2937"/>
                <w:sz w:val="19"/>
              </w:rPr>
              <w:t>4. Implementar Interfaces Naturales de Usuario (NUI) con reconocimiento de voz (Web Speech API), visión/gestos (MediaPipe/TensorFlow.js) y realidad aumentada (WebXR/Three.js).</w:t>
            </w:r>
          </w:p>
          <w:p>
            <w:pPr>
              <w:spacing w:before="40" w:after="40" w:line="276" w:lineRule="auto"/>
            </w:pPr>
            <w:r>
              <w:rPr>
                <w:rFonts w:ascii="Calibri" w:hAnsi="Calibri"/>
                <w:color w:val="1F2937"/>
                <w:sz w:val="19"/>
              </w:rPr>
              <w:t>5. Garantizar la accesibilidad universal (WCAG 2.2 / WAI-ARIA / RD 1112/2018) y usabilidad (Heurísticas de Nielsen, ISO 9241-210 y SUS).</w:t>
            </w:r>
          </w:p>
          <w:p>
            <w:pPr>
              <w:spacing w:before="40" w:after="40" w:line="276" w:lineRule="auto"/>
            </w:pPr>
            <w:r>
              <w:rPr>
                <w:rFonts w:ascii="Calibri" w:hAnsi="Calibri"/>
                <w:color w:val="1F2937"/>
                <w:sz w:val="19"/>
              </w:rPr>
              <w:t>6. Generar informes empresariales dinámicos (PDFMake, jsPDF, exportación Excel/CSV) y cuadros de mando interactivos (Chart.js, ApexCharts).</w:t>
            </w:r>
          </w:p>
          <w:p>
            <w:pPr>
              <w:spacing w:before="40" w:after="40" w:line="276" w:lineRule="auto"/>
            </w:pPr>
            <w:r>
              <w:rPr>
                <w:rFonts w:ascii="Calibri" w:hAnsi="Calibri"/>
                <w:color w:val="1F2937"/>
                <w:sz w:val="19"/>
              </w:rPr>
              <w:t>7. Crear aplicaciones de escritorio multiplataforma con Electron + Angular, ejecutando planes de pruebas (Playwright/Jest) y empaquetando instaladores nativos (NSIS, deb, DMG) con CI/CD.</w:t>
            </w:r>
          </w:p>
        </w:tc>
      </w:tr>
    </w:tbl>
    <w:p>
      <w:pPr>
        <w:spacing w:before="40" w:after="80"/>
      </w:pPr>
    </w:p>
    <w:p>
      <w:pPr>
        <w:spacing w:before="0" w:after="80" w:line="276" w:lineRule="auto"/>
      </w:pPr>
      <w:r>
        <w:rPr>
          <w:rFonts w:ascii="Calibri" w:hAnsi="Calibri"/>
          <w:color w:val="1F2937"/>
          <w:sz w:val="20"/>
        </w:rPr>
        <w:t>La programación didáctica está compaginada al 100% con los materiales preparados en la carpeta docs/ (23 unidades de apuntes teóricos, código fuente y proyecto final integrador GesFlow).</w:t>
      </w:r>
    </w:p>
    <w:p>
      <w:pPr>
        <w:keepNext/>
        <w:spacing w:before="360" w:after="120"/>
      </w:pPr>
      <w:r>
        <w:rPr>
          <w:rFonts w:ascii="Calibri" w:hAnsi="Calibri"/>
          <w:b/>
          <w:color w:val="0F4C81"/>
          <w:sz w:val="29"/>
        </w:rPr>
        <w:t>2. MARCO NORMATIVO VIGENTE</w:t>
      </w:r>
    </w:p>
    <w:p>
      <w:pPr>
        <w:spacing w:before="0" w:after="80" w:line="276" w:lineRule="auto"/>
      </w:pPr>
      <w:r>
        <w:rPr>
          <w:rFonts w:ascii="Calibri" w:hAnsi="Calibri"/>
          <w:color w:val="1F2937"/>
          <w:sz w:val="20"/>
        </w:rPr>
        <w:t>La programación didáctica se fundamenta y ajusta rigurosamente a la siguiente jerarquía normativa estatal, autonómica andaluza y sectorial:</w:t>
      </w:r>
    </w:p>
    <w:p>
      <w:pPr>
        <w:keepNext/>
        <w:spacing w:before="240" w:after="80"/>
      </w:pPr>
      <w:r>
        <w:rPr>
          <w:rFonts w:ascii="Calibri" w:hAnsi="Calibri"/>
          <w:b/>
          <w:color w:val="0D9488"/>
          <w:sz w:val="24"/>
        </w:rPr>
        <w:t>2.1 Normativa General del Sistema Educativo y Formación Profesional</w:t>
      </w:r>
    </w:p>
    <w:p>
      <w:pPr>
        <w:pStyle w:val="ListBullet"/>
        <w:spacing w:before="0" w:after="60" w:line="276" w:lineRule="auto"/>
      </w:pPr>
      <w:r>
        <w:rPr>
          <w:rFonts w:ascii="Calibri" w:hAnsi="Calibri"/>
          <w:b/>
          <w:color w:val="1F2937"/>
          <w:sz w:val="20"/>
        </w:rPr>
        <w:t xml:space="preserve">Constitución Española de 1978 (Artículo 27): </w:t>
      </w:r>
      <w:r>
        <w:rPr>
          <w:rFonts w:ascii="Calibri" w:hAnsi="Calibri"/>
          <w:color w:val="1F2937"/>
          <w:sz w:val="20"/>
        </w:rPr>
        <w:t>Garantiza el derecho a la educación y el libre desarrollo de la personalidad.</w:t>
      </w:r>
    </w:p>
    <w:p>
      <w:pPr>
        <w:pStyle w:val="ListBullet"/>
        <w:spacing w:before="0" w:after="60" w:line="276" w:lineRule="auto"/>
      </w:pPr>
      <w:r>
        <w:rPr>
          <w:rFonts w:ascii="Calibri" w:hAnsi="Calibri"/>
          <w:b/>
          <w:color w:val="1F2937"/>
          <w:sz w:val="20"/>
        </w:rPr>
        <w:t xml:space="preserve">Ley Orgánica 2/2006, de 3 de mayo, de Educación (LOE / LOMLOE): </w:t>
      </w:r>
      <w:r>
        <w:rPr>
          <w:rFonts w:ascii="Calibri" w:hAnsi="Calibri"/>
          <w:color w:val="1F2937"/>
          <w:sz w:val="20"/>
        </w:rPr>
        <w:t>Marco regulador de las enseñanzas no universitarias, con las modificaciones de la Ley Orgánica 3/2020 (LOMLOE) en inclusión, digitalización y diseño universal.</w:t>
      </w:r>
    </w:p>
    <w:p>
      <w:pPr>
        <w:pStyle w:val="ListBullet"/>
        <w:spacing w:before="0" w:after="60" w:line="276" w:lineRule="auto"/>
      </w:pPr>
      <w:r>
        <w:rPr>
          <w:rFonts w:ascii="Calibri" w:hAnsi="Calibri"/>
          <w:b/>
          <w:color w:val="1F2937"/>
          <w:sz w:val="20"/>
        </w:rPr>
        <w:t xml:space="preserve">Ley Orgánica 3/2022, de 31 de marzo, de ordenación e integración de la FP: </w:t>
      </w:r>
      <w:r>
        <w:rPr>
          <w:rFonts w:ascii="Calibri" w:hAnsi="Calibri"/>
          <w:color w:val="1F2937"/>
          <w:sz w:val="20"/>
        </w:rPr>
        <w:t>Establece el marco legal unificado del Sistema de FP y el carácter dual de las ofertas formativas de Grado D.</w:t>
      </w:r>
    </w:p>
    <w:p>
      <w:pPr>
        <w:pStyle w:val="ListBullet"/>
        <w:spacing w:before="0" w:after="60" w:line="276" w:lineRule="auto"/>
      </w:pPr>
      <w:r>
        <w:rPr>
          <w:rFonts w:ascii="Calibri" w:hAnsi="Calibri"/>
          <w:b/>
          <w:color w:val="1F2937"/>
          <w:sz w:val="20"/>
        </w:rPr>
        <w:t xml:space="preserve">Real Decreto 659/2023, de 18 de julio: </w:t>
      </w:r>
      <w:r>
        <w:rPr>
          <w:rFonts w:ascii="Calibri" w:hAnsi="Calibri"/>
          <w:color w:val="1F2937"/>
          <w:sz w:val="20"/>
        </w:rPr>
        <w:t>Desarrolla la ordenación del Sistema de FP (estructura de Grados D, régimen dual y resultados de aprendizaje).</w:t>
      </w:r>
    </w:p>
    <w:p>
      <w:pPr>
        <w:pStyle w:val="ListBullet"/>
        <w:spacing w:before="0" w:after="60" w:line="276" w:lineRule="auto"/>
      </w:pPr>
      <w:r>
        <w:rPr>
          <w:rFonts w:ascii="Calibri" w:hAnsi="Calibri"/>
          <w:b/>
          <w:color w:val="1F2937"/>
          <w:sz w:val="20"/>
        </w:rPr>
        <w:t xml:space="preserve">Real Decreto 450/2010 / Real Decreto 686/2010: </w:t>
      </w:r>
      <w:r>
        <w:rPr>
          <w:rFonts w:ascii="Calibri" w:hAnsi="Calibri"/>
          <w:color w:val="1F2937"/>
          <w:sz w:val="20"/>
        </w:rPr>
        <w:t>Establece el título de Técnico Superior en Desarrollo de Aplicaciones Multiplataforma y fija sus enseñanzas mínimas.</w:t>
      </w:r>
    </w:p>
    <w:p>
      <w:pPr>
        <w:pStyle w:val="ListBullet"/>
        <w:spacing w:before="0" w:after="60" w:line="276" w:lineRule="auto"/>
      </w:pPr>
      <w:r>
        <w:rPr>
          <w:rFonts w:ascii="Calibri" w:hAnsi="Calibri"/>
          <w:b/>
          <w:color w:val="1F2937"/>
          <w:sz w:val="20"/>
        </w:rPr>
        <w:t xml:space="preserve">Real Decreto 405/2023, de 29 de mayo (BOE-A-2023-13221): </w:t>
      </w:r>
      <w:r>
        <w:rPr>
          <w:rFonts w:ascii="Calibri" w:hAnsi="Calibri"/>
          <w:color w:val="1F2937"/>
          <w:sz w:val="20"/>
        </w:rPr>
        <w:t>Actualiza el título de Técnico Superior en DAM, modernizando los Resultados de Aprendizaje de Desarrollo de Interfaces (incorporando formalmente las NUI con IA, reconocimiento de voz y movimiento, y frameworks modernos).</w:t>
      </w:r>
    </w:p>
    <w:p>
      <w:pPr>
        <w:pStyle w:val="ListBullet"/>
        <w:spacing w:before="0" w:after="60" w:line="276" w:lineRule="auto"/>
      </w:pPr>
      <w:r>
        <w:rPr>
          <w:rFonts w:ascii="Calibri" w:hAnsi="Calibri"/>
          <w:b/>
          <w:color w:val="1F2937"/>
          <w:sz w:val="20"/>
        </w:rPr>
        <w:t xml:space="preserve">Real Decreto 500/2024, de 21 de mayo (BOE-A-2024-10684): </w:t>
      </w:r>
      <w:r>
        <w:rPr>
          <w:rFonts w:ascii="Calibri" w:hAnsi="Calibri"/>
          <w:color w:val="1F2937"/>
          <w:sz w:val="20"/>
        </w:rPr>
        <w:t>Actualiza los títulos de FP de grado superior, adaptando la ordenación modular, IPE II e integrando la formación en empresa dual.</w:t>
      </w:r>
    </w:p>
    <w:p>
      <w:pPr>
        <w:keepNext/>
        <w:spacing w:before="240" w:after="80"/>
      </w:pPr>
      <w:r>
        <w:rPr>
          <w:rFonts w:ascii="Calibri" w:hAnsi="Calibri"/>
          <w:b/>
          <w:color w:val="0D9488"/>
          <w:sz w:val="24"/>
        </w:rPr>
        <w:t>2.2 Normativa Autonómica de la Comunidad Autónoma de Andalucía</w:t>
      </w:r>
    </w:p>
    <w:p>
      <w:pPr>
        <w:pStyle w:val="ListBullet"/>
        <w:spacing w:before="0" w:after="60" w:line="276" w:lineRule="auto"/>
      </w:pPr>
      <w:r>
        <w:rPr>
          <w:rFonts w:ascii="Calibri" w:hAnsi="Calibri"/>
          <w:b/>
          <w:color w:val="1F2937"/>
          <w:sz w:val="20"/>
        </w:rPr>
        <w:t xml:space="preserve">Estatuto de Autonomía para Andalucía (Ley Orgánica 2/2007) - Artículos 21 y 52: </w:t>
      </w:r>
      <w:r>
        <w:rPr>
          <w:rFonts w:ascii="Calibri" w:hAnsi="Calibri"/>
          <w:color w:val="1F2937"/>
          <w:sz w:val="20"/>
        </w:rPr>
        <w:t>Garantizan el derecho a la educación permanente y la vinculación de la FP con el tejido socioproductivo andaluz.</w:t>
      </w:r>
    </w:p>
    <w:p>
      <w:pPr>
        <w:pStyle w:val="ListBullet"/>
        <w:spacing w:before="0" w:after="60" w:line="276" w:lineRule="auto"/>
      </w:pPr>
      <w:r>
        <w:rPr>
          <w:rFonts w:ascii="Calibri" w:hAnsi="Calibri"/>
          <w:b/>
          <w:color w:val="1F2937"/>
          <w:sz w:val="20"/>
        </w:rPr>
        <w:t xml:space="preserve">Ley 17/2007, de 10 de diciembre, de Educación de Andalucía (LEA): </w:t>
      </w:r>
      <w:r>
        <w:rPr>
          <w:rFonts w:ascii="Calibri" w:hAnsi="Calibri"/>
          <w:color w:val="1F2937"/>
          <w:sz w:val="20"/>
        </w:rPr>
        <w:t>Marco legal educativo propio de Andalucía.</w:t>
      </w:r>
    </w:p>
    <w:p>
      <w:pPr>
        <w:pStyle w:val="ListBullet"/>
        <w:spacing w:before="0" w:after="60" w:line="276" w:lineRule="auto"/>
      </w:pPr>
      <w:r>
        <w:rPr>
          <w:rFonts w:ascii="Calibri" w:hAnsi="Calibri"/>
          <w:b/>
          <w:color w:val="1F2937"/>
          <w:sz w:val="20"/>
        </w:rPr>
        <w:t xml:space="preserve">Decreto 104/2024, de 28 de mayo: </w:t>
      </w:r>
      <w:r>
        <w:rPr>
          <w:rFonts w:ascii="Calibri" w:hAnsi="Calibri"/>
          <w:color w:val="1F2937"/>
          <w:sz w:val="20"/>
        </w:rPr>
        <w:t>Regula la ordenación del Sistema de Formación Profesional en Andalucía, estableciendo el régimen dual y la autonomía pedagógica de los centros docentes (deroga el Decreto 436/2008).</w:t>
      </w:r>
    </w:p>
    <w:p>
      <w:pPr>
        <w:pStyle w:val="ListBullet"/>
        <w:spacing w:before="0" w:after="60" w:line="276" w:lineRule="auto"/>
      </w:pPr>
      <w:r>
        <w:rPr>
          <w:rFonts w:ascii="Calibri" w:hAnsi="Calibri"/>
          <w:b/>
          <w:color w:val="1F2937"/>
          <w:sz w:val="20"/>
        </w:rPr>
        <w:t xml:space="preserve">Orden de 18 de septiembre de 2025: </w:t>
      </w:r>
      <w:r>
        <w:rPr>
          <w:rFonts w:ascii="Calibri" w:hAnsi="Calibri"/>
          <w:color w:val="1F2937"/>
          <w:sz w:val="20"/>
        </w:rPr>
        <w:t>Regula con carácter preceptivo la evaluación criterial, continua, formativa y colegiada en Grados D y E en Andalucía (deroga la Orden de 29 de septiembre de 2010).</w:t>
      </w:r>
    </w:p>
    <w:p>
      <w:pPr>
        <w:pStyle w:val="ListBullet"/>
        <w:spacing w:before="0" w:after="60" w:line="276" w:lineRule="auto"/>
      </w:pPr>
      <w:r>
        <w:rPr>
          <w:rFonts w:ascii="Calibri" w:hAnsi="Calibri"/>
          <w:b/>
          <w:color w:val="1F2937"/>
          <w:sz w:val="20"/>
        </w:rPr>
        <w:t xml:space="preserve">Orden de 26 de septiembre de 2025: </w:t>
      </w:r>
      <w:r>
        <w:rPr>
          <w:rFonts w:ascii="Calibri" w:hAnsi="Calibri"/>
          <w:color w:val="1F2937"/>
          <w:sz w:val="20"/>
        </w:rPr>
        <w:t>Regula la organización y desarrollo de la fase de formación en empresa u organismo equiparado en los centros docentes andaluces.</w:t>
      </w:r>
    </w:p>
    <w:p>
      <w:pPr>
        <w:pStyle w:val="ListBullet"/>
        <w:spacing w:before="0" w:after="60" w:line="276" w:lineRule="auto"/>
      </w:pPr>
      <w:r>
        <w:rPr>
          <w:rFonts w:ascii="Calibri" w:hAnsi="Calibri"/>
          <w:b/>
          <w:color w:val="1F2937"/>
          <w:sz w:val="20"/>
        </w:rPr>
        <w:t xml:space="preserve">Orden de 16 de junio de 2011: </w:t>
      </w:r>
      <w:r>
        <w:rPr>
          <w:rFonts w:ascii="Calibri" w:hAnsi="Calibri"/>
          <w:color w:val="1F2937"/>
          <w:sz w:val="20"/>
        </w:rPr>
        <w:t>Desarrolla el currículo del título de Técnico Superior en DAM en la Comunidad Autónoma de Andalucía.</w:t>
      </w:r>
    </w:p>
    <w:p>
      <w:pPr>
        <w:pStyle w:val="ListBullet"/>
        <w:spacing w:before="0" w:after="60" w:line="276" w:lineRule="auto"/>
      </w:pPr>
      <w:r>
        <w:rPr>
          <w:rFonts w:ascii="Calibri" w:hAnsi="Calibri"/>
          <w:b/>
          <w:color w:val="1F2937"/>
          <w:sz w:val="20"/>
        </w:rPr>
        <w:t xml:space="preserve">Decreto 327/2010, de 13 de julio, y Orden de 20 de agosto de 2010: </w:t>
      </w:r>
      <w:r>
        <w:rPr>
          <w:rFonts w:ascii="Calibri" w:hAnsi="Calibri"/>
          <w:color w:val="1F2937"/>
          <w:sz w:val="20"/>
        </w:rPr>
        <w:t>Reglamento Orgánico de los IES y normas de organización y funcionamiento de centros docentes en Andalucía.</w:t>
      </w:r>
    </w:p>
    <w:p>
      <w:pPr>
        <w:keepNext/>
        <w:spacing w:before="240" w:after="80"/>
      </w:pPr>
      <w:r>
        <w:rPr>
          <w:rFonts w:ascii="Calibri" w:hAnsi="Calibri"/>
          <w:b/>
          <w:color w:val="0D9488"/>
          <w:sz w:val="24"/>
        </w:rPr>
        <w:t>2.3 Normativa Específica de Accesibilidad, Propiedad Intelectual y Protección de Datos</w:t>
      </w:r>
    </w:p>
    <w:p>
      <w:pPr>
        <w:pStyle w:val="ListBullet"/>
        <w:spacing w:before="0" w:after="60" w:line="276" w:lineRule="auto"/>
      </w:pPr>
      <w:r>
        <w:rPr>
          <w:rFonts w:ascii="Calibri" w:hAnsi="Calibri"/>
          <w:b/>
          <w:color w:val="1F2937"/>
          <w:sz w:val="20"/>
        </w:rPr>
        <w:t xml:space="preserve">Real Decreto 1112/2018, de 7 de septiembre (Accesibilidad Web y Apps): </w:t>
      </w:r>
      <w:r>
        <w:rPr>
          <w:rFonts w:ascii="Calibri" w:hAnsi="Calibri"/>
          <w:color w:val="1F2937"/>
          <w:sz w:val="20"/>
        </w:rPr>
        <w:t>Regula la accesibilidad obligatoria de sitios web y aplicaciones para dispositivos móviles y servicios de interés general (trasposición de la Directiva UE 2016/2102).</w:t>
      </w:r>
    </w:p>
    <w:p>
      <w:pPr>
        <w:pStyle w:val="ListBullet"/>
        <w:spacing w:before="0" w:after="60" w:line="276" w:lineRule="auto"/>
      </w:pPr>
      <w:r>
        <w:rPr>
          <w:rFonts w:ascii="Calibri" w:hAnsi="Calibri"/>
          <w:b/>
          <w:color w:val="1F2937"/>
          <w:sz w:val="20"/>
        </w:rPr>
        <w:t xml:space="preserve">Ley 11/2023, de 8 de mayo: </w:t>
      </w:r>
      <w:r>
        <w:rPr>
          <w:rFonts w:ascii="Calibri" w:hAnsi="Calibri"/>
          <w:color w:val="1F2937"/>
          <w:sz w:val="20"/>
        </w:rPr>
        <w:t>Trasposición de directivas europeas en materia de accesibilidad de productos y servicios (Acta Europea de Accesibilidad).</w:t>
      </w:r>
    </w:p>
    <w:p>
      <w:pPr>
        <w:pStyle w:val="ListBullet"/>
        <w:spacing w:before="0" w:after="60" w:line="276" w:lineRule="auto"/>
      </w:pPr>
      <w:r>
        <w:rPr>
          <w:rFonts w:ascii="Calibri" w:hAnsi="Calibri"/>
          <w:b/>
          <w:color w:val="1F2937"/>
          <w:sz w:val="20"/>
        </w:rPr>
        <w:t xml:space="preserve">Real Decreto Legislativo 1/1996 (Ley de Propiedad Intelectual - TRLPI): </w:t>
      </w:r>
      <w:r>
        <w:rPr>
          <w:rFonts w:ascii="Calibri" w:hAnsi="Calibri"/>
          <w:color w:val="1F2937"/>
          <w:sz w:val="20"/>
        </w:rPr>
        <w:t>Regula los derechos de autor, explotación de software, componentes y licencias de distribución (Creative Commons, GPL, MIT, Apache).</w:t>
      </w:r>
    </w:p>
    <w:p>
      <w:pPr>
        <w:pStyle w:val="ListBullet"/>
        <w:spacing w:before="0" w:after="60" w:line="276" w:lineRule="auto"/>
      </w:pPr>
      <w:r>
        <w:rPr>
          <w:rFonts w:ascii="Calibri" w:hAnsi="Calibri"/>
          <w:b/>
          <w:color w:val="1F2937"/>
          <w:sz w:val="20"/>
        </w:rPr>
        <w:t xml:space="preserve">Reglamento (UE) 2016/679 (RGPD) y Ley Orgánica 3/2018 (LOPDGDD): </w:t>
      </w:r>
      <w:r>
        <w:rPr>
          <w:rFonts w:ascii="Calibri" w:hAnsi="Calibri"/>
          <w:color w:val="1F2937"/>
          <w:sz w:val="20"/>
        </w:rPr>
        <w:t>Regulan la privacidad por diseño, el tratamiento lícito de datos y la garantía de derechos digitales en interfaces y aplicaciones de gestión.</w:t>
      </w:r>
    </w:p>
    <w:p>
      <w:pPr>
        <w:keepNext/>
        <w:spacing w:before="360" w:after="120"/>
      </w:pPr>
      <w:r>
        <w:rPr>
          <w:rFonts w:ascii="Calibri" w:hAnsi="Calibri"/>
          <w:b/>
          <w:color w:val="0F4C81"/>
          <w:sz w:val="29"/>
        </w:rPr>
        <w:t>3. CONTEXTO DEL GRUPO DE ALUMNADO (2º DAM)</w:t>
      </w:r>
    </w:p>
    <w:p>
      <w:pPr>
        <w:spacing w:before="0" w:after="80" w:line="276" w:lineRule="auto"/>
      </w:pPr>
      <w:r>
        <w:rPr>
          <w:rFonts w:ascii="Calibri" w:hAnsi="Calibri"/>
          <w:color w:val="1F2937"/>
          <w:sz w:val="20"/>
        </w:rPr>
        <w:t>El grupo de 2º curso de Desarrollo de Aplicaciones Multiplataforma está integrado por 11 alumnos/as procedentes de diversos municipios de las provincias de Jaén y Córdoba (Martos, Torredonjimeno, Torredelcampo, Escañuela, Jaén y Priego de Córdoba):</w:t>
      </w:r>
    </w:p>
    <w:p>
      <w:pPr>
        <w:pStyle w:val="ListBullet"/>
        <w:spacing w:before="0" w:after="60" w:line="276" w:lineRule="auto"/>
      </w:pPr>
      <w:r>
        <w:rPr>
          <w:rFonts w:ascii="Calibri" w:hAnsi="Calibri"/>
          <w:b/>
          <w:color w:val="1F2937"/>
          <w:sz w:val="20"/>
        </w:rPr>
        <w:t xml:space="preserve">Distribución etaria: </w:t>
      </w:r>
      <w:r>
        <w:rPr>
          <w:rFonts w:ascii="Calibri" w:hAnsi="Calibri"/>
          <w:color w:val="1F2937"/>
          <w:sz w:val="20"/>
        </w:rPr>
        <w:t>Edades comprendidas entre 20 y 30 años, con perfiles orientados al desarrollo de aplicaciones empresariales, móviles y multiplataforma.</w:t>
      </w:r>
    </w:p>
    <w:p>
      <w:pPr>
        <w:pStyle w:val="ListBullet"/>
        <w:spacing w:before="0" w:after="60" w:line="276" w:lineRule="auto"/>
      </w:pPr>
      <w:r>
        <w:rPr>
          <w:rFonts w:ascii="Calibri" w:hAnsi="Calibri"/>
          <w:b/>
          <w:color w:val="1F2937"/>
          <w:sz w:val="20"/>
        </w:rPr>
        <w:t xml:space="preserve">Trayectoria académica: </w:t>
      </w:r>
      <w:r>
        <w:rPr>
          <w:rFonts w:ascii="Calibri" w:hAnsi="Calibri"/>
          <w:color w:val="1F2937"/>
          <w:sz w:val="20"/>
        </w:rPr>
        <w:t>10 alumnos proceden de la promoción directa de 1º DAM en el mismo centro educativo, contando con una base homogénea en programación orientada a objetos (Java), bases de datos y lenguajes de marcas. 1 alumno proviene de matrícula directa con estudios anteriores de DAM.</w:t>
      </w:r>
    </w:p>
    <w:p>
      <w:pPr>
        <w:pStyle w:val="ListBullet"/>
        <w:spacing w:before="0" w:after="60" w:line="276" w:lineRule="auto"/>
      </w:pPr>
      <w:r>
        <w:rPr>
          <w:rFonts w:ascii="Calibri" w:hAnsi="Calibri"/>
          <w:b/>
          <w:color w:val="1F2937"/>
          <w:sz w:val="20"/>
        </w:rPr>
        <w:t xml:space="preserve">Dinámica de aula: </w:t>
      </w:r>
      <w:r>
        <w:rPr>
          <w:rFonts w:ascii="Calibri" w:hAnsi="Calibri"/>
          <w:color w:val="1F2937"/>
          <w:sz w:val="20"/>
        </w:rPr>
        <w:t>El grupo demuestra buen clima de convivencia y colaboración. Existen perfiles de liderazgo técnico que dinamizan el avance colectivo en las actividades cooperativas y de laboratorio.</w:t>
      </w:r>
    </w:p>
    <w:p>
      <w:pPr>
        <w:pStyle w:val="ListBullet"/>
        <w:spacing w:before="0" w:after="60" w:line="276" w:lineRule="auto"/>
      </w:pPr>
      <w:r>
        <w:rPr>
          <w:rFonts w:ascii="Calibri" w:hAnsi="Calibri"/>
          <w:b/>
          <w:color w:val="1F2937"/>
          <w:sz w:val="20"/>
        </w:rPr>
        <w:t xml:space="preserve">Atención a la diversidad: </w:t>
      </w:r>
      <w:r>
        <w:rPr>
          <w:rFonts w:ascii="Calibri" w:hAnsi="Calibri"/>
          <w:color w:val="1F2937"/>
          <w:sz w:val="20"/>
        </w:rPr>
        <w:t>No se registran dictámenes formales de NEAE en el expediente de orientación. Se aplican estrategias basadas en el Diseño Universal para el Aprendizaje (DUA) para atender la diversidad de ritmos de aprendizaje.</w:t>
      </w:r>
    </w:p>
    <w:p>
      <w:pPr>
        <w:keepNext/>
        <w:spacing w:before="360" w:after="120"/>
      </w:pPr>
      <w:r>
        <w:rPr>
          <w:rFonts w:ascii="Calibri" w:hAnsi="Calibri"/>
          <w:b/>
          <w:color w:val="0F4C81"/>
          <w:sz w:val="29"/>
        </w:rPr>
        <w:t>4. OBJETIVOS GENERALES Y COMPETENCIAS DEL TÍTULO</w:t>
      </w:r>
    </w:p>
    <w:p>
      <w:pPr>
        <w:spacing w:before="0" w:after="80" w:line="276" w:lineRule="auto"/>
      </w:pPr>
      <w:r>
        <w:rPr>
          <w:rFonts w:ascii="Calibri" w:hAnsi="Calibri"/>
          <w:color w:val="1F2937"/>
          <w:sz w:val="20"/>
        </w:rPr>
        <w:t>De conformidad con la Orden de 16 de junio de 2011 y el Real Decreto 450/2010 / RD 405/2023, el módulo de Desarrollo de Interfaces contribuye a los siguientes objetivos generales y competencias:</w:t>
      </w:r>
    </w:p>
    <w:p>
      <w:pPr>
        <w:keepNext/>
        <w:spacing w:before="240" w:after="80"/>
      </w:pPr>
      <w:r>
        <w:rPr>
          <w:rFonts w:ascii="Calibri" w:hAnsi="Calibri"/>
          <w:b/>
          <w:color w:val="0D9488"/>
          <w:sz w:val="24"/>
        </w:rPr>
        <w:t>4.1 Objetivos Generales del Ciclo Vinculados al Módulo</w:t>
      </w:r>
    </w:p>
    <w:p>
      <w:pPr>
        <w:pStyle w:val="ListBullet"/>
        <w:spacing w:before="0" w:after="60" w:line="276" w:lineRule="auto"/>
      </w:pPr>
      <w:r>
        <w:rPr>
          <w:rFonts w:ascii="Calibri" w:hAnsi="Calibri"/>
          <w:b/>
          <w:color w:val="1F2937"/>
          <w:sz w:val="20"/>
        </w:rPr>
        <w:t xml:space="preserve">Desarrollo con acceso a datos: </w:t>
      </w:r>
      <w:r>
        <w:rPr>
          <w:rFonts w:ascii="Calibri" w:hAnsi="Calibri"/>
          <w:color w:val="1F2937"/>
          <w:sz w:val="20"/>
        </w:rPr>
        <w:t>Seleccionar y emplear lenguajes, herramientas y librerías para desarrollar interfaces multiplataforma con acceso a bases de datos (e).</w:t>
      </w:r>
    </w:p>
    <w:p>
      <w:pPr>
        <w:pStyle w:val="ListBullet"/>
        <w:spacing w:before="0" w:after="60" w:line="276" w:lineRule="auto"/>
      </w:pPr>
      <w:r>
        <w:rPr>
          <w:rFonts w:ascii="Calibri" w:hAnsi="Calibri"/>
          <w:b/>
          <w:color w:val="1F2937"/>
          <w:sz w:val="20"/>
        </w:rPr>
        <w:t xml:space="preserve">Formularios e informes: </w:t>
      </w:r>
      <w:r>
        <w:rPr>
          <w:rFonts w:ascii="Calibri" w:hAnsi="Calibri"/>
          <w:color w:val="1F2937"/>
          <w:sz w:val="20"/>
        </w:rPr>
        <w:t>Planificar e implementar sistemas de formularios e informes para desarrollar aplicaciones de gestión (f).</w:t>
      </w:r>
    </w:p>
    <w:p>
      <w:pPr>
        <w:pStyle w:val="ListBullet"/>
        <w:spacing w:before="0" w:after="60" w:line="276" w:lineRule="auto"/>
      </w:pPr>
      <w:r>
        <w:rPr>
          <w:rFonts w:ascii="Calibri" w:hAnsi="Calibri"/>
          <w:b/>
          <w:color w:val="1F2937"/>
          <w:sz w:val="20"/>
        </w:rPr>
        <w:t xml:space="preserve">Multimedia y estilos: </w:t>
      </w:r>
      <w:r>
        <w:rPr>
          <w:rFonts w:ascii="Calibri" w:hAnsi="Calibri"/>
          <w:color w:val="1F2937"/>
          <w:sz w:val="20"/>
        </w:rPr>
        <w:t>Manipular e integrar contenidos gráficos y componentes multimedia siguiendo manuales de estilo (g).</w:t>
      </w:r>
    </w:p>
    <w:p>
      <w:pPr>
        <w:pStyle w:val="ListBullet"/>
        <w:spacing w:before="0" w:after="60" w:line="276" w:lineRule="auto"/>
      </w:pPr>
      <w:r>
        <w:rPr>
          <w:rFonts w:ascii="Calibri" w:hAnsi="Calibri"/>
          <w:b/>
          <w:color w:val="1F2937"/>
          <w:sz w:val="20"/>
        </w:rPr>
        <w:t xml:space="preserve">Interfaces gráficas y usabilidad: </w:t>
      </w:r>
      <w:r>
        <w:rPr>
          <w:rFonts w:ascii="Calibri" w:hAnsi="Calibri"/>
          <w:color w:val="1F2937"/>
          <w:sz w:val="20"/>
        </w:rPr>
        <w:t>Emplear herramientas visuales y componentes interactivos verificando usabilidad y accesibilidad (h).</w:t>
      </w:r>
    </w:p>
    <w:p>
      <w:pPr>
        <w:pStyle w:val="ListBullet"/>
        <w:spacing w:before="0" w:after="60" w:line="276" w:lineRule="auto"/>
      </w:pPr>
      <w:r>
        <w:rPr>
          <w:rFonts w:ascii="Calibri" w:hAnsi="Calibri"/>
          <w:b/>
          <w:color w:val="1F2937"/>
          <w:sz w:val="20"/>
        </w:rPr>
        <w:t xml:space="preserve">Documentación y ayuda: </w:t>
      </w:r>
      <w:r>
        <w:rPr>
          <w:rFonts w:ascii="Calibri" w:hAnsi="Calibri"/>
          <w:color w:val="1F2937"/>
          <w:sz w:val="20"/>
        </w:rPr>
        <w:t>Crear ayudas generales, sensibles al contexto, tutoriales y manuales de usuario (k, l).</w:t>
      </w:r>
    </w:p>
    <w:p>
      <w:pPr>
        <w:pStyle w:val="ListBullet"/>
        <w:spacing w:before="0" w:after="60" w:line="276" w:lineRule="auto"/>
      </w:pPr>
      <w:r>
        <w:rPr>
          <w:rFonts w:ascii="Calibri" w:hAnsi="Calibri"/>
          <w:b/>
          <w:color w:val="1F2937"/>
          <w:sz w:val="20"/>
        </w:rPr>
        <w:t xml:space="preserve">Empaquetado y distribución: </w:t>
      </w:r>
      <w:r>
        <w:rPr>
          <w:rFonts w:ascii="Calibri" w:hAnsi="Calibri"/>
          <w:color w:val="1F2937"/>
          <w:sz w:val="20"/>
        </w:rPr>
        <w:t>Seleccionar técnicas y herramientas para empaquetar, desplegar y distribuir aplicaciones (m, s).</w:t>
      </w:r>
    </w:p>
    <w:p>
      <w:pPr>
        <w:pStyle w:val="ListBullet"/>
        <w:spacing w:before="0" w:after="60" w:line="276" w:lineRule="auto"/>
      </w:pPr>
      <w:r>
        <w:rPr>
          <w:rFonts w:ascii="Calibri" w:hAnsi="Calibri"/>
          <w:b/>
          <w:color w:val="1F2937"/>
          <w:sz w:val="20"/>
        </w:rPr>
        <w:t xml:space="preserve">Plan de pruebas: </w:t>
      </w:r>
      <w:r>
        <w:rPr>
          <w:rFonts w:ascii="Calibri" w:hAnsi="Calibri"/>
          <w:color w:val="1F2937"/>
          <w:sz w:val="20"/>
        </w:rPr>
        <w:t>Verificar los componentes software desarrollados completando un plan de pruebas (r).</w:t>
      </w:r>
    </w:p>
    <w:p>
      <w:pPr>
        <w:pStyle w:val="ListBullet"/>
        <w:spacing w:before="0" w:after="60" w:line="276" w:lineRule="auto"/>
      </w:pPr>
      <w:r>
        <w:rPr>
          <w:rFonts w:ascii="Calibri" w:hAnsi="Calibri"/>
          <w:b/>
          <w:color w:val="1F2937"/>
          <w:sz w:val="20"/>
        </w:rPr>
        <w:t xml:space="preserve">Innovación y actualización: </w:t>
      </w:r>
      <w:r>
        <w:rPr>
          <w:rFonts w:ascii="Calibri" w:hAnsi="Calibri"/>
          <w:color w:val="1F2937"/>
          <w:sz w:val="20"/>
        </w:rPr>
        <w:t>Identificar cambios tecnológicos para mantener el espíritu de innovación continua (w).</w:t>
      </w:r>
    </w:p>
    <w:p>
      <w:pPr>
        <w:keepNext/>
        <w:spacing w:before="240" w:after="80"/>
      </w:pPr>
      <w:r>
        <w:rPr>
          <w:rFonts w:ascii="Calibri" w:hAnsi="Calibri"/>
          <w:b/>
          <w:color w:val="0D9488"/>
          <w:sz w:val="24"/>
        </w:rPr>
        <w:t>4.2 Competencias Profesionales, Personales y Sociales</w:t>
      </w:r>
    </w:p>
    <w:p>
      <w:pPr>
        <w:pStyle w:val="ListBullet"/>
        <w:spacing w:before="0" w:after="60" w:line="276" w:lineRule="auto"/>
      </w:pPr>
      <w:r>
        <w:rPr>
          <w:rFonts w:ascii="Calibri" w:hAnsi="Calibri"/>
          <w:b/>
          <w:color w:val="1F2937"/>
          <w:sz w:val="20"/>
        </w:rPr>
        <w:t xml:space="preserve">Entornos y herramientas: </w:t>
      </w:r>
      <w:r>
        <w:rPr>
          <w:rFonts w:ascii="Calibri" w:hAnsi="Calibri"/>
          <w:color w:val="1F2937"/>
          <w:sz w:val="20"/>
        </w:rPr>
        <w:t>Gestionar entornos de desarrollo, frameworks y herramientas de frontend/escritorio (d).</w:t>
      </w:r>
    </w:p>
    <w:p>
      <w:pPr>
        <w:pStyle w:val="ListBullet"/>
        <w:spacing w:before="0" w:after="60" w:line="276" w:lineRule="auto"/>
      </w:pPr>
      <w:r>
        <w:rPr>
          <w:rFonts w:ascii="Calibri" w:hAnsi="Calibri"/>
          <w:b/>
          <w:color w:val="1F2937"/>
          <w:sz w:val="20"/>
        </w:rPr>
        <w:t xml:space="preserve">Desarrollo de UI interactiva: </w:t>
      </w:r>
      <w:r>
        <w:rPr>
          <w:rFonts w:ascii="Calibri" w:hAnsi="Calibri"/>
          <w:color w:val="1F2937"/>
          <w:sz w:val="20"/>
        </w:rPr>
        <w:t>Desarrollar interfaces gráficas de usuario interactivas, accesibles y amigables implementando componentes visuales estándar o personalizados (h).</w:t>
      </w:r>
    </w:p>
    <w:p>
      <w:pPr>
        <w:pStyle w:val="ListBullet"/>
        <w:spacing w:before="0" w:after="60" w:line="276" w:lineRule="auto"/>
      </w:pPr>
      <w:r>
        <w:rPr>
          <w:rFonts w:ascii="Calibri" w:hAnsi="Calibri"/>
          <w:b/>
          <w:color w:val="1F2937"/>
          <w:sz w:val="20"/>
        </w:rPr>
        <w:t xml:space="preserve">Gestión de información y dashboards: </w:t>
      </w:r>
      <w:r>
        <w:rPr>
          <w:rFonts w:ascii="Calibri" w:hAnsi="Calibri"/>
          <w:color w:val="1F2937"/>
          <w:sz w:val="20"/>
        </w:rPr>
        <w:t>Implementar sistemas completos de formularios, informes incrustados y cuadros de mando para gestión integral de información (f).</w:t>
      </w:r>
    </w:p>
    <w:p>
      <w:pPr>
        <w:pStyle w:val="ListBullet"/>
        <w:spacing w:before="0" w:after="60" w:line="276" w:lineRule="auto"/>
      </w:pPr>
      <w:r>
        <w:rPr>
          <w:rFonts w:ascii="Calibri" w:hAnsi="Calibri"/>
          <w:b/>
          <w:color w:val="1F2937"/>
          <w:sz w:val="20"/>
        </w:rPr>
        <w:t xml:space="preserve">Documentación técnica: </w:t>
      </w:r>
      <w:r>
        <w:rPr>
          <w:rFonts w:ascii="Calibri" w:hAnsi="Calibri"/>
          <w:color w:val="1F2937"/>
          <w:sz w:val="20"/>
        </w:rPr>
        <w:t>Crear ayudas interactivas, documentación de APIs y manuales técnicos y de usuario (k, l).</w:t>
      </w:r>
    </w:p>
    <w:p>
      <w:pPr>
        <w:pStyle w:val="ListBullet"/>
        <w:spacing w:before="0" w:after="60" w:line="276" w:lineRule="auto"/>
      </w:pPr>
      <w:r>
        <w:rPr>
          <w:rFonts w:ascii="Calibri" w:hAnsi="Calibri"/>
          <w:b/>
          <w:color w:val="1F2937"/>
          <w:sz w:val="20"/>
        </w:rPr>
        <w:t xml:space="preserve">Distribución y empaquetado: </w:t>
      </w:r>
      <w:r>
        <w:rPr>
          <w:rFonts w:ascii="Calibri" w:hAnsi="Calibri"/>
          <w:color w:val="1F2937"/>
          <w:sz w:val="20"/>
        </w:rPr>
        <w:t>Empaquetar aplicaciones multiplataforma con asistentes autoinstalables, firmas y actualización continua (m, s).</w:t>
      </w:r>
    </w:p>
    <w:p>
      <w:pPr>
        <w:pStyle w:val="ListBullet"/>
        <w:spacing w:before="0" w:after="60" w:line="276" w:lineRule="auto"/>
      </w:pPr>
      <w:r>
        <w:rPr>
          <w:rFonts w:ascii="Calibri" w:hAnsi="Calibri"/>
          <w:b/>
          <w:color w:val="1F2937"/>
          <w:sz w:val="20"/>
        </w:rPr>
        <w:t xml:space="preserve">Testing y calidad: </w:t>
      </w:r>
      <w:r>
        <w:rPr>
          <w:rFonts w:ascii="Calibri" w:hAnsi="Calibri"/>
          <w:color w:val="1F2937"/>
          <w:sz w:val="20"/>
        </w:rPr>
        <w:t>Diseñar y ejecutar planes rigurosos de pruebas unitarias, de integración, rendimiento y seguridad (r).</w:t>
      </w:r>
    </w:p>
    <w:p>
      <w:pPr>
        <w:keepNext/>
        <w:spacing w:before="360" w:after="120"/>
      </w:pPr>
      <w:r>
        <w:rPr>
          <w:rFonts w:ascii="Calibri" w:hAnsi="Calibri"/>
          <w:b/>
          <w:color w:val="0F4C81"/>
          <w:sz w:val="29"/>
        </w:rPr>
        <w:t>5. RESULTADOS DE APRENDIZAJE Y CRITERIOS DE EVALUACIÓN (RD 405/2023)</w:t>
      </w:r>
    </w:p>
    <w:p>
      <w:pPr>
        <w:spacing w:before="0" w:after="80" w:line="276" w:lineRule="auto"/>
      </w:pPr>
      <w:r>
        <w:rPr>
          <w:rFonts w:ascii="Calibri" w:hAnsi="Calibri"/>
          <w:color w:val="1F2937"/>
          <w:sz w:val="20"/>
        </w:rPr>
        <w:t>A continuación se detallan los 8 Resultados de Aprendizaje oficiales fijados por el Real Decreto 405/2023 y la Orden de 16 de junio de 2011 para el módulo de Desarrollo de Interfaces, junto con sus Criterios de Evaluación y el peso porcentual asignado a cada uno:</w:t>
      </w:r>
    </w:p>
    <w:tbl>
      <w:tblPr>
        <w:tblW w:type="auto" w:w="0"/>
        <w:jc w:val="center"/>
        <w:tblLayout w:type="fixed"/>
        <w:tblLook w:firstColumn="1" w:firstRow="1" w:lastColumn="0" w:lastRow="0" w:noHBand="0" w:noVBand="1" w:val="04A0"/>
        <w:tblBorders>
          <w:top w:val="single" w:sz="4" w:space="0" w:color="D1D5DB"/>
          <w:bottom w:val="single" w:sz="4" w:space="0" w:color="D1D5DB"/>
          <w:left w:val="none"/>
          <w:right w:val="none"/>
          <w:insideH w:val="single" w:sz="4" w:space="0" w:color="D1D5DB"/>
          <w:insideV w:val="none"/>
        </w:tblBorders>
      </w:tblPr>
      <w:tblGrid>
        <w:gridCol w:w="2412"/>
        <w:gridCol w:w="2412"/>
        <w:gridCol w:w="2412"/>
        <w:gridCol w:w="2412"/>
      </w:tblGrid>
      <w:tr>
        <w:tc>
          <w:tcPr>
            <w:tcW w:type="dxa" w:w="864"/>
            <w:shd w:fill="0F4C81"/>
            <w:tcMar>
              <w:top w:w="120" w:type="dxa"/>
              <w:bottom w:w="120" w:type="dxa"/>
              <w:left w:w="140" w:type="dxa"/>
              <w:right w:w="140" w:type="dxa"/>
            </w:tcMar>
          </w:tcPr>
          <w:p>
            <w:pPr>
              <w:spacing w:before="0" w:after="0"/>
            </w:pPr>
            <w:r>
              <w:rPr>
                <w:rFonts w:ascii="Calibri" w:hAnsi="Calibri"/>
                <w:b/>
                <w:color w:val="FFFFFF"/>
                <w:sz w:val="19"/>
              </w:rPr>
              <w:t>RA</w:t>
            </w:r>
          </w:p>
        </w:tc>
        <w:tc>
          <w:tcPr>
            <w:tcW w:type="dxa" w:w="3168"/>
            <w:shd w:fill="0F4C81"/>
            <w:tcMar>
              <w:top w:w="120" w:type="dxa"/>
              <w:bottom w:w="120" w:type="dxa"/>
              <w:left w:w="140" w:type="dxa"/>
              <w:right w:w="140" w:type="dxa"/>
            </w:tcMar>
          </w:tcPr>
          <w:p>
            <w:pPr>
              <w:spacing w:before="0" w:after="0"/>
            </w:pPr>
            <w:r>
              <w:rPr>
                <w:rFonts w:ascii="Calibri" w:hAnsi="Calibri"/>
                <w:b/>
                <w:color w:val="FFFFFF"/>
                <w:sz w:val="19"/>
              </w:rPr>
              <w:t>Resultado de Aprendizaje Oficial</w:t>
            </w:r>
          </w:p>
        </w:tc>
        <w:tc>
          <w:tcPr>
            <w:tcW w:type="dxa" w:w="4608"/>
            <w:shd w:fill="0F4C81"/>
            <w:tcMar>
              <w:top w:w="120" w:type="dxa"/>
              <w:bottom w:w="120" w:type="dxa"/>
              <w:left w:w="140" w:type="dxa"/>
              <w:right w:w="140" w:type="dxa"/>
            </w:tcMar>
          </w:tcPr>
          <w:p>
            <w:pPr>
              <w:spacing w:before="0" w:after="0"/>
            </w:pPr>
            <w:r>
              <w:rPr>
                <w:rFonts w:ascii="Calibri" w:hAnsi="Calibri"/>
                <w:b/>
                <w:color w:val="FFFFFF"/>
                <w:sz w:val="19"/>
              </w:rPr>
              <w:t>Criterios de Evaluación Oficiales (CE)</w:t>
            </w:r>
          </w:p>
        </w:tc>
        <w:tc>
          <w:tcPr>
            <w:tcW w:type="dxa" w:w="1008"/>
            <w:shd w:fill="0F4C81"/>
            <w:tcMar>
              <w:top w:w="120" w:type="dxa"/>
              <w:bottom w:w="120" w:type="dxa"/>
              <w:left w:w="140" w:type="dxa"/>
              <w:right w:w="140" w:type="dxa"/>
            </w:tcMar>
          </w:tcPr>
          <w:p>
            <w:pPr>
              <w:spacing w:before="0" w:after="0"/>
            </w:pPr>
            <w:r>
              <w:rPr>
                <w:rFonts w:ascii="Calibri" w:hAnsi="Calibri"/>
                <w:b/>
                <w:color w:val="FFFFFF"/>
                <w:sz w:val="19"/>
              </w:rPr>
              <w:t>Pond. Total</w:t>
            </w:r>
          </w:p>
        </w:tc>
      </w:tr>
      <w:tr>
        <w:tc>
          <w:tcPr>
            <w:tcW w:type="dxa" w:w="864"/>
            <w:shd w:fill="FFFFFF"/>
            <w:tcMar>
              <w:top w:w="100" w:type="dxa"/>
              <w:bottom w:w="100" w:type="dxa"/>
              <w:left w:w="140" w:type="dxa"/>
              <w:right w:w="140" w:type="dxa"/>
            </w:tcMar>
          </w:tcPr>
          <w:p>
            <w:pPr>
              <w:spacing w:before="0" w:after="0" w:line="264" w:lineRule="auto"/>
            </w:pPr>
            <w:r>
              <w:rPr>
                <w:rFonts w:ascii="Calibri" w:hAnsi="Calibri"/>
                <w:color w:val="1F2937"/>
                <w:sz w:val="18"/>
              </w:rPr>
              <w:t>RA1</w:t>
            </w:r>
          </w:p>
        </w:tc>
        <w:tc>
          <w:tcPr>
            <w:tcW w:type="dxa" w:w="3168"/>
            <w:shd w:fill="FFFFFF"/>
            <w:tcMar>
              <w:top w:w="100" w:type="dxa"/>
              <w:bottom w:w="100" w:type="dxa"/>
              <w:left w:w="140" w:type="dxa"/>
              <w:right w:w="140" w:type="dxa"/>
            </w:tcMar>
          </w:tcPr>
          <w:p>
            <w:pPr>
              <w:spacing w:before="0" w:after="0" w:line="264" w:lineRule="auto"/>
            </w:pPr>
            <w:r>
              <w:rPr>
                <w:rFonts w:ascii="Calibri" w:hAnsi="Calibri"/>
                <w:color w:val="1F2937"/>
                <w:sz w:val="18"/>
              </w:rPr>
              <w:t>Genera interfaces gráficos de usuario mediante editores visuales utilizando las funcionalidades del editor y adaptando el código generado.</w:t>
            </w:r>
          </w:p>
        </w:tc>
        <w:tc>
          <w:tcPr>
            <w:tcW w:type="dxa" w:w="4608"/>
            <w:shd w:fill="FFFFFF"/>
            <w:tcMar>
              <w:top w:w="100" w:type="dxa"/>
              <w:bottom w:w="100" w:type="dxa"/>
              <w:left w:w="140" w:type="dxa"/>
              <w:right w:w="140" w:type="dxa"/>
            </w:tcMar>
          </w:tcPr>
          <w:p>
            <w:pPr>
              <w:spacing w:before="0" w:after="0" w:line="264" w:lineRule="auto"/>
            </w:pPr>
            <w:r>
              <w:rPr>
                <w:rFonts w:ascii="Calibri" w:hAnsi="Calibri"/>
                <w:color w:val="1F2937"/>
                <w:sz w:val="18"/>
              </w:rPr>
              <w:t>a) Se han analizado herramientas y librerías disponibles (2%).</w:t>
              <w:br/>
              <w:t>b) Se ha creado un interfaz gráfico con editor visual (2%).</w:t>
              <w:br/>
              <w:t>c) Se han ubicado componentes con funciones del editor (2%).</w:t>
              <w:br/>
              <w:t>d) Se han modificado propiedades de componentes (2%).</w:t>
              <w:br/>
              <w:t>e) Se ha analizado el código generado (3%).</w:t>
              <w:br/>
              <w:t>f) Se ha modificado el código generado (3%).</w:t>
              <w:br/>
              <w:t>g) Se han asociado acciones a eventos (4%).</w:t>
              <w:br/>
              <w:t>h) Se ha desarrollado una aplicación con interfaz gráfico (4%).</w:t>
            </w:r>
          </w:p>
        </w:tc>
        <w:tc>
          <w:tcPr>
            <w:tcW w:type="dxa" w:w="1008"/>
            <w:shd w:fill="FFFFFF"/>
            <w:tcMar>
              <w:top w:w="100" w:type="dxa"/>
              <w:bottom w:w="100" w:type="dxa"/>
              <w:left w:w="140" w:type="dxa"/>
              <w:right w:w="140" w:type="dxa"/>
            </w:tcMar>
          </w:tcPr>
          <w:p>
            <w:pPr>
              <w:spacing w:before="0" w:after="0" w:line="264" w:lineRule="auto"/>
            </w:pPr>
            <w:r>
              <w:rPr>
                <w:rFonts w:ascii="Calibri" w:hAnsi="Calibri"/>
                <w:color w:val="1F2937"/>
                <w:sz w:val="18"/>
              </w:rPr>
              <w:t>22 %</w:t>
              <w:br/>
              <w:t>(Pond. diferenciada)</w:t>
            </w:r>
          </w:p>
        </w:tc>
      </w:tr>
      <w:tr>
        <w:tc>
          <w:tcPr>
            <w:tcW w:type="dxa" w:w="864"/>
            <w:shd w:fill="F9FAFB"/>
            <w:tcMar>
              <w:top w:w="100" w:type="dxa"/>
              <w:bottom w:w="100" w:type="dxa"/>
              <w:left w:w="140" w:type="dxa"/>
              <w:right w:w="140" w:type="dxa"/>
            </w:tcMar>
          </w:tcPr>
          <w:p>
            <w:pPr>
              <w:spacing w:before="0" w:after="0" w:line="264" w:lineRule="auto"/>
            </w:pPr>
            <w:r>
              <w:rPr>
                <w:rFonts w:ascii="Calibri" w:hAnsi="Calibri"/>
                <w:color w:val="1F2937"/>
                <w:sz w:val="18"/>
              </w:rPr>
              <w:t>RA2</w:t>
            </w:r>
          </w:p>
        </w:tc>
        <w:tc>
          <w:tcPr>
            <w:tcW w:type="dxa" w:w="3168"/>
            <w:shd w:fill="F9FAFB"/>
            <w:tcMar>
              <w:top w:w="100" w:type="dxa"/>
              <w:bottom w:w="100" w:type="dxa"/>
              <w:left w:w="140" w:type="dxa"/>
              <w:right w:w="140" w:type="dxa"/>
            </w:tcMar>
          </w:tcPr>
          <w:p>
            <w:pPr>
              <w:spacing w:before="0" w:after="0" w:line="264" w:lineRule="auto"/>
            </w:pPr>
            <w:r>
              <w:rPr>
                <w:rFonts w:ascii="Calibri" w:hAnsi="Calibri"/>
                <w:color w:val="1F2937"/>
                <w:sz w:val="18"/>
              </w:rPr>
              <w:t>Genera interfaces naturales de usuario utilizando herramientas visuales.</w:t>
            </w:r>
          </w:p>
        </w:tc>
        <w:tc>
          <w:tcPr>
            <w:tcW w:type="dxa" w:w="4608"/>
            <w:shd w:fill="F9FAFB"/>
            <w:tcMar>
              <w:top w:w="100" w:type="dxa"/>
              <w:bottom w:w="100" w:type="dxa"/>
              <w:left w:w="140" w:type="dxa"/>
              <w:right w:w="140" w:type="dxa"/>
            </w:tcMar>
          </w:tcPr>
          <w:p>
            <w:pPr>
              <w:spacing w:before="0" w:after="0" w:line="264" w:lineRule="auto"/>
            </w:pPr>
            <w:r>
              <w:rPr>
                <w:rFonts w:ascii="Calibri" w:hAnsi="Calibri"/>
                <w:color w:val="1F2937"/>
                <w:sz w:val="18"/>
              </w:rPr>
              <w:t>a) Se han identificado herramientas de aprendizaje automático para UI (2%).</w:t>
              <w:br/>
              <w:t>b) Se ha creado una interfaz natural de usuario (2%).</w:t>
              <w:br/>
              <w:t>c) Se ha utilizado reconocimiento de voz para acciones (2%).</w:t>
              <w:br/>
              <w:t>d) Se ha incorporado detección del movimiento del cuerpo (2%).</w:t>
              <w:br/>
              <w:t>e) Se han integrado elementos de detección de partes del cuerpo (4%).</w:t>
              <w:br/>
              <w:t>f) Se ha integrado realidad aumentada en interfaces (4%).</w:t>
            </w:r>
          </w:p>
        </w:tc>
        <w:tc>
          <w:tcPr>
            <w:tcW w:type="dxa" w:w="1008"/>
            <w:shd w:fill="F9FAFB"/>
            <w:tcMar>
              <w:top w:w="100" w:type="dxa"/>
              <w:bottom w:w="100" w:type="dxa"/>
              <w:left w:w="140" w:type="dxa"/>
              <w:right w:w="140" w:type="dxa"/>
            </w:tcMar>
          </w:tcPr>
          <w:p>
            <w:pPr>
              <w:spacing w:before="0" w:after="0" w:line="264" w:lineRule="auto"/>
            </w:pPr>
            <w:r>
              <w:rPr>
                <w:rFonts w:ascii="Calibri" w:hAnsi="Calibri"/>
                <w:color w:val="1F2937"/>
                <w:sz w:val="18"/>
              </w:rPr>
              <w:t>16 %</w:t>
              <w:br/>
              <w:t>(Pond. diferenciada)</w:t>
            </w:r>
          </w:p>
        </w:tc>
      </w:tr>
      <w:tr>
        <w:tc>
          <w:tcPr>
            <w:tcW w:type="dxa" w:w="864"/>
            <w:shd w:fill="FFFFFF"/>
            <w:tcMar>
              <w:top w:w="100" w:type="dxa"/>
              <w:bottom w:w="100" w:type="dxa"/>
              <w:left w:w="140" w:type="dxa"/>
              <w:right w:w="140" w:type="dxa"/>
            </w:tcMar>
          </w:tcPr>
          <w:p>
            <w:pPr>
              <w:spacing w:before="0" w:after="0" w:line="264" w:lineRule="auto"/>
            </w:pPr>
            <w:r>
              <w:rPr>
                <w:rFonts w:ascii="Calibri" w:hAnsi="Calibri"/>
                <w:color w:val="1F2937"/>
                <w:sz w:val="18"/>
              </w:rPr>
              <w:t>RA3</w:t>
            </w:r>
          </w:p>
        </w:tc>
        <w:tc>
          <w:tcPr>
            <w:tcW w:type="dxa" w:w="3168"/>
            <w:shd w:fill="FFFFFF"/>
            <w:tcMar>
              <w:top w:w="100" w:type="dxa"/>
              <w:bottom w:w="100" w:type="dxa"/>
              <w:left w:w="140" w:type="dxa"/>
              <w:right w:w="140" w:type="dxa"/>
            </w:tcMar>
          </w:tcPr>
          <w:p>
            <w:pPr>
              <w:spacing w:before="0" w:after="0" w:line="264" w:lineRule="auto"/>
            </w:pPr>
            <w:r>
              <w:rPr>
                <w:rFonts w:ascii="Calibri" w:hAnsi="Calibri"/>
                <w:color w:val="1F2937"/>
                <w:sz w:val="18"/>
              </w:rPr>
              <w:t>Crea componentes visuales valorando y empleando herramientas específicas.</w:t>
            </w:r>
          </w:p>
        </w:tc>
        <w:tc>
          <w:tcPr>
            <w:tcW w:type="dxa" w:w="4608"/>
            <w:shd w:fill="FFFFFF"/>
            <w:tcMar>
              <w:top w:w="100" w:type="dxa"/>
              <w:bottom w:w="100" w:type="dxa"/>
              <w:left w:w="140" w:type="dxa"/>
              <w:right w:w="140" w:type="dxa"/>
            </w:tcMar>
          </w:tcPr>
          <w:p>
            <w:pPr>
              <w:spacing w:before="0" w:after="0" w:line="264" w:lineRule="auto"/>
            </w:pPr>
            <w:r>
              <w:rPr>
                <w:rFonts w:ascii="Calibri" w:hAnsi="Calibri"/>
                <w:color w:val="1F2937"/>
                <w:sz w:val="18"/>
              </w:rPr>
              <w:t>a) Se han identificado herramientas de diseño y prueba (2%).</w:t>
              <w:br/>
              <w:t>b) Se han creado componentes visuales (2%).</w:t>
              <w:br/>
              <w:t>c) Se han definido métodos y propiedades por defecto (2%).</w:t>
              <w:br/>
              <w:t>d) Se han asociado eventos y acciones (2%).</w:t>
              <w:br/>
              <w:t>e) Se han realizado pruebas unitarias sobre componentes (2%).</w:t>
              <w:br/>
              <w:t>f) Se han documentado los componentes creados (2%).</w:t>
              <w:br/>
              <w:t>g) Se han empaquetado componentes (4%).</w:t>
              <w:br/>
              <w:t>h) Se han programado aplicaciones con los componentes (4%).</w:t>
            </w:r>
          </w:p>
        </w:tc>
        <w:tc>
          <w:tcPr>
            <w:tcW w:type="dxa" w:w="1008"/>
            <w:shd w:fill="FFFFFF"/>
            <w:tcMar>
              <w:top w:w="100" w:type="dxa"/>
              <w:bottom w:w="100" w:type="dxa"/>
              <w:left w:w="140" w:type="dxa"/>
              <w:right w:w="140" w:type="dxa"/>
            </w:tcMar>
          </w:tcPr>
          <w:p>
            <w:pPr>
              <w:spacing w:before="0" w:after="0" w:line="264" w:lineRule="auto"/>
            </w:pPr>
            <w:r>
              <w:rPr>
                <w:rFonts w:ascii="Calibri" w:hAnsi="Calibri"/>
                <w:color w:val="1F2937"/>
                <w:sz w:val="18"/>
              </w:rPr>
              <w:t>20 %</w:t>
              <w:br/>
              <w:t>(Pond. diferenciada)</w:t>
            </w:r>
          </w:p>
        </w:tc>
      </w:tr>
      <w:tr>
        <w:tc>
          <w:tcPr>
            <w:tcW w:type="dxa" w:w="864"/>
            <w:shd w:fill="F9FAFB"/>
            <w:tcMar>
              <w:top w:w="100" w:type="dxa"/>
              <w:bottom w:w="100" w:type="dxa"/>
              <w:left w:w="140" w:type="dxa"/>
              <w:right w:w="140" w:type="dxa"/>
            </w:tcMar>
          </w:tcPr>
          <w:p>
            <w:pPr>
              <w:spacing w:before="0" w:after="0" w:line="264" w:lineRule="auto"/>
            </w:pPr>
            <w:r>
              <w:rPr>
                <w:rFonts w:ascii="Calibri" w:hAnsi="Calibri"/>
                <w:color w:val="1F2937"/>
                <w:sz w:val="18"/>
              </w:rPr>
              <w:t>RA4</w:t>
            </w:r>
          </w:p>
        </w:tc>
        <w:tc>
          <w:tcPr>
            <w:tcW w:type="dxa" w:w="3168"/>
            <w:shd w:fill="F9FAFB"/>
            <w:tcMar>
              <w:top w:w="100" w:type="dxa"/>
              <w:bottom w:w="100" w:type="dxa"/>
              <w:left w:w="140" w:type="dxa"/>
              <w:right w:w="140" w:type="dxa"/>
            </w:tcMar>
          </w:tcPr>
          <w:p>
            <w:pPr>
              <w:spacing w:before="0" w:after="0" w:line="264" w:lineRule="auto"/>
            </w:pPr>
            <w:r>
              <w:rPr>
                <w:rFonts w:ascii="Calibri" w:hAnsi="Calibri"/>
                <w:color w:val="1F2937"/>
                <w:sz w:val="18"/>
              </w:rPr>
              <w:t>Diseña interfaces gráficas identificando y aplicando criterios de usabilidad y accesibilidad.</w:t>
            </w:r>
          </w:p>
        </w:tc>
        <w:tc>
          <w:tcPr>
            <w:tcW w:type="dxa" w:w="4608"/>
            <w:shd w:fill="F9FAFB"/>
            <w:tcMar>
              <w:top w:w="100" w:type="dxa"/>
              <w:bottom w:w="100" w:type="dxa"/>
              <w:left w:w="140" w:type="dxa"/>
              <w:right w:w="140" w:type="dxa"/>
            </w:tcMar>
          </w:tcPr>
          <w:p>
            <w:pPr>
              <w:spacing w:before="0" w:after="0" w:line="264" w:lineRule="auto"/>
            </w:pPr>
            <w:r>
              <w:rPr>
                <w:rFonts w:ascii="Calibri" w:hAnsi="Calibri"/>
                <w:color w:val="1F2937"/>
                <w:sz w:val="18"/>
              </w:rPr>
              <w:t>a) Se han identificado estándares de usabilidad y accesibilidad (1%).</w:t>
              <w:br/>
              <w:t>b) Se ha valorado la importancia de los estándares (1%).</w:t>
              <w:br/>
              <w:t>c) Se han creado menús siguiendo estándares (1%).</w:t>
              <w:br/>
              <w:t>d) Se han distribuido acciones en menús y toolbars (1%).</w:t>
              <w:br/>
              <w:t>e) Se han distribuido controles en la interfaz (1%).</w:t>
              <w:br/>
              <w:t>f) Se ha utilizado el control más apropiado (1%).</w:t>
              <w:br/>
              <w:t>g) Se ha diseñado el aspecto atendiendo a legibilidad (1%).</w:t>
              <w:br/>
              <w:t>h) Se han verificado mensajes en claridad y extensión (2%).</w:t>
              <w:br/>
              <w:t>i) Se han evaluado usabilidad y accesibilidad con pruebas (2%).</w:t>
            </w:r>
          </w:p>
        </w:tc>
        <w:tc>
          <w:tcPr>
            <w:tcW w:type="dxa" w:w="1008"/>
            <w:shd w:fill="F9FAFB"/>
            <w:tcMar>
              <w:top w:w="100" w:type="dxa"/>
              <w:bottom w:w="100" w:type="dxa"/>
              <w:left w:w="140" w:type="dxa"/>
              <w:right w:w="140" w:type="dxa"/>
            </w:tcMar>
          </w:tcPr>
          <w:p>
            <w:pPr>
              <w:spacing w:before="0" w:after="0" w:line="264" w:lineRule="auto"/>
            </w:pPr>
            <w:r>
              <w:rPr>
                <w:rFonts w:ascii="Calibri" w:hAnsi="Calibri"/>
                <w:color w:val="1F2937"/>
                <w:sz w:val="18"/>
              </w:rPr>
              <w:t>11 %</w:t>
              <w:br/>
              <w:t>(Pond. diferenciada)</w:t>
            </w:r>
          </w:p>
        </w:tc>
      </w:tr>
      <w:tr>
        <w:tc>
          <w:tcPr>
            <w:tcW w:type="dxa" w:w="864"/>
            <w:shd w:fill="FFFFFF"/>
            <w:tcMar>
              <w:top w:w="100" w:type="dxa"/>
              <w:bottom w:w="100" w:type="dxa"/>
              <w:left w:w="140" w:type="dxa"/>
              <w:right w:w="140" w:type="dxa"/>
            </w:tcMar>
          </w:tcPr>
          <w:p>
            <w:pPr>
              <w:spacing w:before="0" w:after="0" w:line="264" w:lineRule="auto"/>
            </w:pPr>
            <w:r>
              <w:rPr>
                <w:rFonts w:ascii="Calibri" w:hAnsi="Calibri"/>
                <w:color w:val="1F2937"/>
                <w:sz w:val="18"/>
              </w:rPr>
              <w:t>RA5</w:t>
            </w:r>
          </w:p>
        </w:tc>
        <w:tc>
          <w:tcPr>
            <w:tcW w:type="dxa" w:w="3168"/>
            <w:shd w:fill="FFFFFF"/>
            <w:tcMar>
              <w:top w:w="100" w:type="dxa"/>
              <w:bottom w:w="100" w:type="dxa"/>
              <w:left w:w="140" w:type="dxa"/>
              <w:right w:w="140" w:type="dxa"/>
            </w:tcMar>
          </w:tcPr>
          <w:p>
            <w:pPr>
              <w:spacing w:before="0" w:after="0" w:line="264" w:lineRule="auto"/>
            </w:pPr>
            <w:r>
              <w:rPr>
                <w:rFonts w:ascii="Calibri" w:hAnsi="Calibri"/>
                <w:color w:val="1F2937"/>
                <w:sz w:val="18"/>
              </w:rPr>
              <w:t>Crea informes evaluando y utilizando herramientas gráficas.</w:t>
            </w:r>
          </w:p>
        </w:tc>
        <w:tc>
          <w:tcPr>
            <w:tcW w:type="dxa" w:w="4608"/>
            <w:shd w:fill="FFFFFF"/>
            <w:tcMar>
              <w:top w:w="100" w:type="dxa"/>
              <w:bottom w:w="100" w:type="dxa"/>
              <w:left w:w="140" w:type="dxa"/>
              <w:right w:w="140" w:type="dxa"/>
            </w:tcMar>
          </w:tcPr>
          <w:p>
            <w:pPr>
              <w:spacing w:before="0" w:after="0" w:line="264" w:lineRule="auto"/>
            </w:pPr>
            <w:r>
              <w:rPr>
                <w:rFonts w:ascii="Calibri" w:hAnsi="Calibri"/>
                <w:color w:val="1F2937"/>
                <w:sz w:val="18"/>
              </w:rPr>
              <w:t>a) Se ha establecido la estructura del informe (0,5%).</w:t>
              <w:br/>
              <w:t>b) Se han generado informes básicos con asistentes (0,5%).</w:t>
              <w:br/>
              <w:t>c) Se han establecido filtros sobre valores (0,5%).</w:t>
              <w:br/>
              <w:t>d) Se han incluido valores calculados y totales (0,5%).</w:t>
              <w:br/>
              <w:t>e) Se han incluido gráficos generados a partir de datos (0,5%).</w:t>
              <w:br/>
              <w:t>f) Se han utilizado herramientas para generar código (0,5%).</w:t>
              <w:br/>
              <w:t>g) Se ha modificado el código de informes (0,5%).</w:t>
              <w:br/>
              <w:t>h) Se ha desarrollado una aplicación con informes incrustados (0,5%).</w:t>
            </w:r>
          </w:p>
        </w:tc>
        <w:tc>
          <w:tcPr>
            <w:tcW w:type="dxa" w:w="1008"/>
            <w:shd w:fill="FFFFFF"/>
            <w:tcMar>
              <w:top w:w="100" w:type="dxa"/>
              <w:bottom w:w="100" w:type="dxa"/>
              <w:left w:w="140" w:type="dxa"/>
              <w:right w:w="140" w:type="dxa"/>
            </w:tcMar>
          </w:tcPr>
          <w:p>
            <w:pPr>
              <w:spacing w:before="0" w:after="0" w:line="264" w:lineRule="auto"/>
            </w:pPr>
            <w:r>
              <w:rPr>
                <w:rFonts w:ascii="Calibri" w:hAnsi="Calibri"/>
                <w:color w:val="1F2937"/>
                <w:sz w:val="18"/>
              </w:rPr>
              <w:t>4 %</w:t>
              <w:br/>
              <w:t>(0,5% / CE)</w:t>
            </w:r>
          </w:p>
        </w:tc>
      </w:tr>
      <w:tr>
        <w:tc>
          <w:tcPr>
            <w:tcW w:type="dxa" w:w="864"/>
            <w:shd w:fill="F9FAFB"/>
            <w:tcMar>
              <w:top w:w="100" w:type="dxa"/>
              <w:bottom w:w="100" w:type="dxa"/>
              <w:left w:w="140" w:type="dxa"/>
              <w:right w:w="140" w:type="dxa"/>
            </w:tcMar>
          </w:tcPr>
          <w:p>
            <w:pPr>
              <w:spacing w:before="0" w:after="0" w:line="264" w:lineRule="auto"/>
            </w:pPr>
            <w:r>
              <w:rPr>
                <w:rFonts w:ascii="Calibri" w:hAnsi="Calibri"/>
                <w:color w:val="1F2937"/>
                <w:sz w:val="18"/>
              </w:rPr>
              <w:t>RA6</w:t>
            </w:r>
          </w:p>
        </w:tc>
        <w:tc>
          <w:tcPr>
            <w:tcW w:type="dxa" w:w="3168"/>
            <w:shd w:fill="F9FAFB"/>
            <w:tcMar>
              <w:top w:w="100" w:type="dxa"/>
              <w:bottom w:w="100" w:type="dxa"/>
              <w:left w:w="140" w:type="dxa"/>
              <w:right w:w="140" w:type="dxa"/>
            </w:tcMar>
          </w:tcPr>
          <w:p>
            <w:pPr>
              <w:spacing w:before="0" w:after="0" w:line="264" w:lineRule="auto"/>
            </w:pPr>
            <w:r>
              <w:rPr>
                <w:rFonts w:ascii="Calibri" w:hAnsi="Calibri"/>
                <w:color w:val="1F2937"/>
                <w:sz w:val="18"/>
              </w:rPr>
              <w:t>Documenta aplicaciones seleccionando y utilizando herramientas específicas.</w:t>
            </w:r>
          </w:p>
        </w:tc>
        <w:tc>
          <w:tcPr>
            <w:tcW w:type="dxa" w:w="4608"/>
            <w:shd w:fill="F9FAFB"/>
            <w:tcMar>
              <w:top w:w="100" w:type="dxa"/>
              <w:bottom w:w="100" w:type="dxa"/>
              <w:left w:w="140" w:type="dxa"/>
              <w:right w:w="140" w:type="dxa"/>
            </w:tcMar>
          </w:tcPr>
          <w:p>
            <w:pPr>
              <w:spacing w:before="0" w:after="0" w:line="264" w:lineRule="auto"/>
            </w:pPr>
            <w:r>
              <w:rPr>
                <w:rFonts w:ascii="Calibri" w:hAnsi="Calibri"/>
                <w:color w:val="1F2937"/>
                <w:sz w:val="18"/>
              </w:rPr>
              <w:t>a) Se han identificado sistemas de generación de ayudas (1%).</w:t>
              <w:br/>
              <w:t>b) Se han generado ayudas en formatos habituales (1%).</w:t>
              <w:br/>
              <w:t>c) Se han generado ayudas sensibles al contexto (1%).</w:t>
              <w:br/>
              <w:t>d) Se ha documentado la información persistente (1%).</w:t>
              <w:br/>
              <w:t>e) Se ha confeccionado el manual de usuario y referencia (1%).</w:t>
              <w:br/>
              <w:t>f) Se han confeccionado manuales de instalación y admin (1%).</w:t>
              <w:br/>
              <w:t>g) Se han confeccionado tutoriales (1%).</w:t>
            </w:r>
          </w:p>
        </w:tc>
        <w:tc>
          <w:tcPr>
            <w:tcW w:type="dxa" w:w="1008"/>
            <w:shd w:fill="F9FAFB"/>
            <w:tcMar>
              <w:top w:w="100" w:type="dxa"/>
              <w:bottom w:w="100" w:type="dxa"/>
              <w:left w:w="140" w:type="dxa"/>
              <w:right w:w="140" w:type="dxa"/>
            </w:tcMar>
          </w:tcPr>
          <w:p>
            <w:pPr>
              <w:spacing w:before="0" w:after="0" w:line="264" w:lineRule="auto"/>
            </w:pPr>
            <w:r>
              <w:rPr>
                <w:rFonts w:ascii="Calibri" w:hAnsi="Calibri"/>
                <w:color w:val="1F2937"/>
                <w:sz w:val="18"/>
              </w:rPr>
              <w:t>7 %</w:t>
              <w:br/>
              <w:t>(1% / CE)</w:t>
            </w:r>
          </w:p>
        </w:tc>
      </w:tr>
      <w:tr>
        <w:tc>
          <w:tcPr>
            <w:tcW w:type="dxa" w:w="864"/>
            <w:shd w:fill="FFFFFF"/>
            <w:tcMar>
              <w:top w:w="100" w:type="dxa"/>
              <w:bottom w:w="100" w:type="dxa"/>
              <w:left w:w="140" w:type="dxa"/>
              <w:right w:w="140" w:type="dxa"/>
            </w:tcMar>
          </w:tcPr>
          <w:p>
            <w:pPr>
              <w:spacing w:before="0" w:after="0" w:line="264" w:lineRule="auto"/>
            </w:pPr>
            <w:r>
              <w:rPr>
                <w:rFonts w:ascii="Calibri" w:hAnsi="Calibri"/>
                <w:color w:val="1F2937"/>
                <w:sz w:val="18"/>
              </w:rPr>
              <w:t>RA7</w:t>
            </w:r>
          </w:p>
        </w:tc>
        <w:tc>
          <w:tcPr>
            <w:tcW w:type="dxa" w:w="3168"/>
            <w:shd w:fill="FFFFFF"/>
            <w:tcMar>
              <w:top w:w="100" w:type="dxa"/>
              <w:bottom w:w="100" w:type="dxa"/>
              <w:left w:w="140" w:type="dxa"/>
              <w:right w:w="140" w:type="dxa"/>
            </w:tcMar>
          </w:tcPr>
          <w:p>
            <w:pPr>
              <w:spacing w:before="0" w:after="0" w:line="264" w:lineRule="auto"/>
            </w:pPr>
            <w:r>
              <w:rPr>
                <w:rFonts w:ascii="Calibri" w:hAnsi="Calibri"/>
                <w:color w:val="1F2937"/>
                <w:sz w:val="18"/>
              </w:rPr>
              <w:t>Prepara aplicaciones para su distribución evaluando y utilizando herramientas específicas.</w:t>
            </w:r>
          </w:p>
        </w:tc>
        <w:tc>
          <w:tcPr>
            <w:tcW w:type="dxa" w:w="4608"/>
            <w:shd w:fill="FFFFFF"/>
            <w:tcMar>
              <w:top w:w="100" w:type="dxa"/>
              <w:bottom w:w="100" w:type="dxa"/>
              <w:left w:w="140" w:type="dxa"/>
              <w:right w:w="140" w:type="dxa"/>
            </w:tcMar>
          </w:tcPr>
          <w:p>
            <w:pPr>
              <w:spacing w:before="0" w:after="0" w:line="264" w:lineRule="auto"/>
            </w:pPr>
            <w:r>
              <w:rPr>
                <w:rFonts w:ascii="Calibri" w:hAnsi="Calibri"/>
                <w:color w:val="1F2937"/>
                <w:sz w:val="18"/>
              </w:rPr>
              <w:t>a) Se han empaquetado componentes requeridos (1%).</w:t>
              <w:br/>
              <w:t>b) Se ha personalizado el asistente de instalación (1%).</w:t>
              <w:br/>
              <w:t>c) Se han generado paquetes con el entorno de desarrollo (1%).</w:t>
              <w:br/>
              <w:t>d) Se han generado paquetes con herramientas externas (1%).</w:t>
              <w:br/>
              <w:t>e) Se han firmado digitalmente las aplicaciones (1%).</w:t>
              <w:br/>
              <w:t>f) Se han generado paquetes en modo desatendido (1%).</w:t>
              <w:br/>
              <w:t>g) Se ha preparado la desinstalación correcta (2%).</w:t>
              <w:br/>
              <w:t>h) Se ha preparado la distribución por diversos canales (2%).</w:t>
            </w:r>
          </w:p>
        </w:tc>
        <w:tc>
          <w:tcPr>
            <w:tcW w:type="dxa" w:w="1008"/>
            <w:shd w:fill="FFFFFF"/>
            <w:tcMar>
              <w:top w:w="100" w:type="dxa"/>
              <w:bottom w:w="100" w:type="dxa"/>
              <w:left w:w="140" w:type="dxa"/>
              <w:right w:w="140" w:type="dxa"/>
            </w:tcMar>
          </w:tcPr>
          <w:p>
            <w:pPr>
              <w:spacing w:before="0" w:after="0" w:line="264" w:lineRule="auto"/>
            </w:pPr>
            <w:r>
              <w:rPr>
                <w:rFonts w:ascii="Calibri" w:hAnsi="Calibri"/>
                <w:color w:val="1F2937"/>
                <w:sz w:val="18"/>
              </w:rPr>
              <w:t>10 %</w:t>
              <w:br/>
              <w:t>(Pond. diferenciada)</w:t>
            </w:r>
          </w:p>
        </w:tc>
      </w:tr>
      <w:tr>
        <w:tc>
          <w:tcPr>
            <w:tcW w:type="dxa" w:w="864"/>
            <w:shd w:fill="F9FAFB"/>
            <w:tcMar>
              <w:top w:w="100" w:type="dxa"/>
              <w:bottom w:w="100" w:type="dxa"/>
              <w:left w:w="140" w:type="dxa"/>
              <w:right w:w="140" w:type="dxa"/>
            </w:tcMar>
          </w:tcPr>
          <w:p>
            <w:pPr>
              <w:spacing w:before="0" w:after="0" w:line="264" w:lineRule="auto"/>
            </w:pPr>
            <w:r>
              <w:rPr>
                <w:rFonts w:ascii="Calibri" w:hAnsi="Calibri"/>
                <w:color w:val="1F2937"/>
                <w:sz w:val="18"/>
              </w:rPr>
              <w:t>RA8</w:t>
            </w:r>
          </w:p>
        </w:tc>
        <w:tc>
          <w:tcPr>
            <w:tcW w:type="dxa" w:w="3168"/>
            <w:shd w:fill="F9FAFB"/>
            <w:tcMar>
              <w:top w:w="100" w:type="dxa"/>
              <w:bottom w:w="100" w:type="dxa"/>
              <w:left w:w="140" w:type="dxa"/>
              <w:right w:w="140" w:type="dxa"/>
            </w:tcMar>
          </w:tcPr>
          <w:p>
            <w:pPr>
              <w:spacing w:before="0" w:after="0" w:line="264" w:lineRule="auto"/>
            </w:pPr>
            <w:r>
              <w:rPr>
                <w:rFonts w:ascii="Calibri" w:hAnsi="Calibri"/>
                <w:color w:val="1F2937"/>
                <w:sz w:val="18"/>
              </w:rPr>
              <w:t>Evalúa el funcionamiento de aplicaciones diseñando y ejecutando pruebas.</w:t>
            </w:r>
          </w:p>
        </w:tc>
        <w:tc>
          <w:tcPr>
            <w:tcW w:type="dxa" w:w="4608"/>
            <w:shd w:fill="F9FAFB"/>
            <w:tcMar>
              <w:top w:w="100" w:type="dxa"/>
              <w:bottom w:w="100" w:type="dxa"/>
              <w:left w:w="140" w:type="dxa"/>
              <w:right w:w="140" w:type="dxa"/>
            </w:tcMar>
          </w:tcPr>
          <w:p>
            <w:pPr>
              <w:spacing w:before="0" w:after="0" w:line="264" w:lineRule="auto"/>
            </w:pPr>
            <w:r>
              <w:rPr>
                <w:rFonts w:ascii="Calibri" w:hAnsi="Calibri"/>
                <w:color w:val="1F2937"/>
                <w:sz w:val="18"/>
              </w:rPr>
              <w:t>a) Se ha establecido una estrategia de pruebas (1%).</w:t>
              <w:br/>
              <w:t>b) Se han realizado pruebas de integración (1%).</w:t>
              <w:br/>
              <w:t>c) Se han realizado pruebas de regresión (1%).</w:t>
              <w:br/>
              <w:t>d) Se han realizado pruebas de volumen y estrés (1%).</w:t>
              <w:br/>
              <w:t>e) Se han realizado pruebas de seguridad (2%).</w:t>
              <w:br/>
              <w:t>f) Se han realizado pruebas de uso de recursos (2%).</w:t>
              <w:br/>
              <w:t>g) Se ha documentado la estrategia y resultados (2%).</w:t>
            </w:r>
          </w:p>
        </w:tc>
        <w:tc>
          <w:tcPr>
            <w:tcW w:type="dxa" w:w="1008"/>
            <w:shd w:fill="F9FAFB"/>
            <w:tcMar>
              <w:top w:w="100" w:type="dxa"/>
              <w:bottom w:w="100" w:type="dxa"/>
              <w:left w:w="140" w:type="dxa"/>
              <w:right w:w="140" w:type="dxa"/>
            </w:tcMar>
          </w:tcPr>
          <w:p>
            <w:pPr>
              <w:spacing w:before="0" w:after="0" w:line="264" w:lineRule="auto"/>
            </w:pPr>
            <w:r>
              <w:rPr>
                <w:rFonts w:ascii="Calibri" w:hAnsi="Calibri"/>
                <w:color w:val="1F2937"/>
                <w:sz w:val="18"/>
              </w:rPr>
              <w:t>10 %</w:t>
              <w:br/>
              <w:t>(Pond. diferenciada)</w:t>
            </w:r>
          </w:p>
        </w:tc>
      </w:tr>
    </w:tbl>
    <w:p>
      <w:pPr>
        <w:spacing w:before="40" w:after="80"/>
      </w:pPr>
    </w:p>
    <w:p>
      <w:pPr>
        <w:keepNext/>
        <w:spacing w:before="360" w:after="120"/>
      </w:pPr>
      <w:r>
        <w:rPr>
          <w:rFonts w:ascii="Calibri" w:hAnsi="Calibri"/>
          <w:b/>
          <w:color w:val="0F4C81"/>
          <w:sz w:val="29"/>
        </w:rPr>
        <w:t>6. SECUENCIACIÓN DIDÁCTICA Y COMPAGINACIÓN CON LOS APUNTES DEL MÓDULO</w:t>
      </w:r>
    </w:p>
    <w:p>
      <w:pPr>
        <w:spacing w:before="0" w:after="80" w:line="276" w:lineRule="auto"/>
      </w:pPr>
      <w:r>
        <w:rPr>
          <w:rFonts w:ascii="Calibri" w:hAnsi="Calibri"/>
          <w:color w:val="1F2937"/>
          <w:sz w:val="20"/>
        </w:rPr>
        <w:t>El módulo se estructura pedagógicamente en 23 Unidades Didácticas (UD) organizadas en dos trimestres lectivos en centro educativo (124 horas lectivas presenciales) que culminan en el Proyecto Final Integrador «GesFlow» y se complementan con las 86 horas de formación dual en empresa (210 h totales):</w:t>
      </w:r>
    </w:p>
    <w:p>
      <w:pPr>
        <w:keepNext/>
        <w:spacing w:before="240" w:after="80"/>
      </w:pPr>
      <w:r>
        <w:rPr>
          <w:rFonts w:ascii="Calibri" w:hAnsi="Calibri"/>
          <w:b/>
          <w:color w:val="0D9488"/>
          <w:sz w:val="24"/>
        </w:rPr>
        <w:t>6.1 TRIMESTRE 1 (68 horas lectivas en centro)</w:t>
      </w:r>
    </w:p>
    <w:p>
      <w:pPr>
        <w:pStyle w:val="ListBullet"/>
        <w:spacing w:before="0" w:after="60" w:line="276" w:lineRule="auto"/>
      </w:pPr>
      <w:r>
        <w:rPr>
          <w:rFonts w:ascii="Calibri" w:hAnsi="Calibri"/>
          <w:b/>
          <w:color w:val="1F2937"/>
          <w:sz w:val="20"/>
        </w:rPr>
        <w:t xml:space="preserve">UD 01. Introducción al desarrollo de interfaces (6 h): </w:t>
      </w:r>
      <w:r>
        <w:rPr>
          <w:rFonts w:ascii="Calibri" w:hAnsi="Calibri"/>
          <w:color w:val="1F2937"/>
          <w:sz w:val="20"/>
        </w:rPr>
        <w:t>Tipologías de interfaz (GUI, CLI, VUI, NUI, TUI), evolución histórica, UX vs UI, multiplataforma (PWA, Electron, nativo), ecosistema Angular y UCD (ISO 9241-210). Material: docs/index.md. RAs: RA1, RA4.</w:t>
      </w:r>
    </w:p>
    <w:p>
      <w:pPr>
        <w:pStyle w:val="ListBullet"/>
        <w:spacing w:before="0" w:after="60" w:line="276" w:lineRule="auto"/>
      </w:pPr>
      <w:r>
        <w:rPr>
          <w:rFonts w:ascii="Calibri" w:hAnsi="Calibri"/>
          <w:b/>
          <w:color w:val="1F2937"/>
          <w:sz w:val="20"/>
        </w:rPr>
        <w:t xml:space="preserve">UD 02. Principios de UX para desarrolladores (10 h): </w:t>
      </w:r>
      <w:r>
        <w:rPr>
          <w:rFonts w:ascii="Calibri" w:hAnsi="Calibri"/>
          <w:color w:val="1F2937"/>
          <w:sz w:val="20"/>
        </w:rPr>
        <w:t>Diseño Centrado en el Usuario (UCD), las 10 heurísticas de Nielsen, arquitectura de información, flujos de usuario, principios visuales Gestalt y UX writing. Material: docs/01-ux.md. RAs: RA4.</w:t>
      </w:r>
    </w:p>
    <w:p>
      <w:pPr>
        <w:pStyle w:val="ListBullet"/>
        <w:spacing w:before="0" w:after="60" w:line="276" w:lineRule="auto"/>
      </w:pPr>
      <w:r>
        <w:rPr>
          <w:rFonts w:ascii="Calibri" w:hAnsi="Calibri"/>
          <w:b/>
          <w:color w:val="1F2937"/>
          <w:sz w:val="20"/>
        </w:rPr>
        <w:t xml:space="preserve">UD 03. Accesibilidad web (WCAG) (10 h): </w:t>
      </w:r>
      <w:r>
        <w:rPr>
          <w:rFonts w:ascii="Calibri" w:hAnsi="Calibri"/>
          <w:color w:val="1F2937"/>
          <w:sz w:val="20"/>
        </w:rPr>
        <w:t>Fundamentos de accesibilidad, WCAG 2.1/2.2 (A/AA/AAA), principios POUR, WAI-ARIA, accesibilidad en Angular CDK y herramientas de test (axe, Lighthouse, WAVE). Material: docs/02-accesibilidad.md. RAs: RA4.</w:t>
      </w:r>
    </w:p>
    <w:p>
      <w:pPr>
        <w:pStyle w:val="ListBullet"/>
        <w:spacing w:before="0" w:after="60" w:line="276" w:lineRule="auto"/>
      </w:pPr>
      <w:r>
        <w:rPr>
          <w:rFonts w:ascii="Calibri" w:hAnsi="Calibri"/>
          <w:b/>
          <w:color w:val="1F2937"/>
          <w:sz w:val="20"/>
        </w:rPr>
        <w:t xml:space="preserve">UD 04. Interfaces naturales de usuario (NUI) (8 h): </w:t>
      </w:r>
      <w:r>
        <w:rPr>
          <w:rFonts w:ascii="Calibri" w:hAnsi="Calibri"/>
          <w:color w:val="1F2937"/>
          <w:sz w:val="20"/>
        </w:rPr>
        <w:t>Modalidades NUI: reconocimiento de voz con Web Speech API, detección de gestos/movimiento corporal con MediaPipe/TensorFlow.js y Realidad Aumentada con WebXR y Three.js. Material: docs/03-interfaces-naturales.md. RAs: RA2.</w:t>
      </w:r>
    </w:p>
    <w:p>
      <w:pPr>
        <w:pStyle w:val="ListBullet"/>
        <w:spacing w:before="0" w:after="60" w:line="276" w:lineRule="auto"/>
      </w:pPr>
      <w:r>
        <w:rPr>
          <w:rFonts w:ascii="Calibri" w:hAnsi="Calibri"/>
          <w:b/>
          <w:color w:val="1F2937"/>
          <w:sz w:val="20"/>
        </w:rPr>
        <w:t xml:space="preserve">UD 05. Diseño de interfaces con Figma (14 h): </w:t>
      </w:r>
      <w:r>
        <w:rPr>
          <w:rFonts w:ascii="Calibri" w:hAnsi="Calibri"/>
          <w:color w:val="1F2937"/>
          <w:sz w:val="20"/>
        </w:rPr>
        <w:t>Espacio de trabajo, frames, Auto Layout avanzado, variables de diseño, componentes y variantes, design tokens, plugins y Dev Mode para handoff. Material: docs/04-figma.md. RAs: RA1, RA3.</w:t>
      </w:r>
    </w:p>
    <w:p>
      <w:pPr>
        <w:pStyle w:val="ListBullet"/>
        <w:spacing w:before="0" w:after="60" w:line="276" w:lineRule="auto"/>
      </w:pPr>
      <w:r>
        <w:rPr>
          <w:rFonts w:ascii="Calibri" w:hAnsi="Calibri"/>
          <w:b/>
          <w:color w:val="1F2937"/>
          <w:sz w:val="20"/>
        </w:rPr>
        <w:t xml:space="preserve">UD 06. Layouts modernos para interfaces web (8 h): </w:t>
      </w:r>
      <w:r>
        <w:rPr>
          <w:rFonts w:ascii="Calibri" w:hAnsi="Calibri"/>
          <w:color w:val="1F2937"/>
          <w:sz w:val="20"/>
        </w:rPr>
        <w:t>Flexbox y CSS Grid con clases utility de Tailwind, equivalencias con layouts clásicos de escritorio (VBox, HBox, GridPane, BorderPane) y container queries. Material: docs/05-layouts-modernos.md. RAs: RA1, RA4.</w:t>
      </w:r>
    </w:p>
    <w:p>
      <w:pPr>
        <w:pStyle w:val="ListBullet"/>
        <w:spacing w:before="0" w:after="60" w:line="276" w:lineRule="auto"/>
      </w:pPr>
      <w:r>
        <w:rPr>
          <w:rFonts w:ascii="Calibri" w:hAnsi="Calibri"/>
          <w:b/>
          <w:color w:val="1F2937"/>
          <w:sz w:val="20"/>
        </w:rPr>
        <w:t xml:space="preserve">UD 07. Tailwind CSS 4 en el desarrollo de interfaces (12 h): </w:t>
      </w:r>
      <w:r>
        <w:rPr>
          <w:rFonts w:ascii="Calibri" w:hAnsi="Calibri"/>
          <w:color w:val="1F2937"/>
          <w:sz w:val="20"/>
        </w:rPr>
        <w:t>Filosofía utility-first, configuración de Tailwind 4 con @theme en Angular/Vite, clases utility clave, dark mode y motor JIT. Material: docs/06-tailwindcss4.md. RAs: RA1, RA4.</w:t>
      </w:r>
    </w:p>
    <w:p>
      <w:pPr>
        <w:keepNext/>
        <w:spacing w:before="240" w:after="80"/>
      </w:pPr>
      <w:r>
        <w:rPr>
          <w:rFonts w:ascii="Calibri" w:hAnsi="Calibri"/>
          <w:b/>
          <w:color w:val="0D9488"/>
          <w:sz w:val="24"/>
        </w:rPr>
        <w:t>6.2 TRIMESTRE 2 (56 horas lectivas en centro + Proyecto GesFlow)</w:t>
      </w:r>
    </w:p>
    <w:p>
      <w:pPr>
        <w:pStyle w:val="ListBullet"/>
        <w:spacing w:before="0" w:after="60" w:line="276" w:lineRule="auto"/>
      </w:pPr>
      <w:r>
        <w:rPr>
          <w:rFonts w:ascii="Calibri" w:hAnsi="Calibri"/>
          <w:b/>
          <w:color w:val="1F2937"/>
          <w:sz w:val="20"/>
        </w:rPr>
        <w:t xml:space="preserve">UD 08. Implementación de componentes con Tailwind CSS (12 h): </w:t>
      </w:r>
      <w:r>
        <w:rPr>
          <w:rFonts w:ascii="Calibri" w:hAnsi="Calibri"/>
          <w:color w:val="1F2937"/>
          <w:sz w:val="20"/>
        </w:rPr>
        <w:t>Sistema completo de botones, tarjetas, tablas de datos, modales accesibles con Angular CDK y barras de navegación adaptables. Material: docs/07-componentes-tailwind.md. RAs: RA1, RA3.</w:t>
      </w:r>
    </w:p>
    <w:p>
      <w:pPr>
        <w:pStyle w:val="ListBullet"/>
        <w:spacing w:before="0" w:after="60" w:line="276" w:lineRule="auto"/>
      </w:pPr>
      <w:r>
        <w:rPr>
          <w:rFonts w:ascii="Calibri" w:hAnsi="Calibri"/>
          <w:b/>
          <w:color w:val="1F2937"/>
          <w:sz w:val="20"/>
        </w:rPr>
        <w:t xml:space="preserve">UD 09. Responsive design en aplicaciones Angular (8 h): </w:t>
      </w:r>
      <w:r>
        <w:rPr>
          <w:rFonts w:ascii="Calibri" w:hAnsi="Calibri"/>
          <w:color w:val="1F2937"/>
          <w:sz w:val="20"/>
        </w:rPr>
        <w:t>Mobile First en escritorio/web, breakpoints Tailwind, BreakpointObserver (Angular CDK) con signals y responsive en Electron. Material: docs/08-responsive-design.md. RAs: RA1, RA4.</w:t>
      </w:r>
    </w:p>
    <w:p>
      <w:pPr>
        <w:pStyle w:val="ListBullet"/>
        <w:spacing w:before="0" w:after="60" w:line="276" w:lineRule="auto"/>
      </w:pPr>
      <w:r>
        <w:rPr>
          <w:rFonts w:ascii="Calibri" w:hAnsi="Calibri"/>
          <w:b/>
          <w:color w:val="1F2937"/>
          <w:sz w:val="20"/>
        </w:rPr>
        <w:t xml:space="preserve">UD 10. Ecosistema profesional del desarrollo frontend (6 h): </w:t>
      </w:r>
      <w:r>
        <w:rPr>
          <w:rFonts w:ascii="Calibri" w:hAnsi="Calibri"/>
          <w:color w:val="1F2937"/>
          <w:sz w:val="20"/>
        </w:rPr>
        <w:t>Node.js, npm, Angular Standalone, TypeScript estricto, Angular Signals, Storybook, Electron y tooling profesional. Material: docs/09-ecosistema-frontend.md. RAs: RA1, RA3.</w:t>
      </w:r>
    </w:p>
    <w:p>
      <w:pPr>
        <w:pStyle w:val="ListBullet"/>
        <w:spacing w:before="0" w:after="60" w:line="276" w:lineRule="auto"/>
      </w:pPr>
      <w:r>
        <w:rPr>
          <w:rFonts w:ascii="Calibri" w:hAnsi="Calibri"/>
          <w:b/>
          <w:color w:val="1F2937"/>
          <w:sz w:val="20"/>
        </w:rPr>
        <w:t xml:space="preserve">UD 11. Arquitectura de interfaces con Angular (12 h): </w:t>
      </w:r>
      <w:r>
        <w:rPr>
          <w:rFonts w:ascii="Calibri" w:hAnsi="Calibri"/>
          <w:color w:val="1F2937"/>
          <w:sz w:val="20"/>
        </w:rPr>
        <w:t>Componentes Standalone, organización por features, patrón Smart vs Presentational, comunicación inputs/outputs/signals y manipulación del DOM reactivo. Material: docs/10-arquitectura-angular.md. RAs: RA1, RA3.</w:t>
      </w:r>
    </w:p>
    <w:p>
      <w:pPr>
        <w:pStyle w:val="ListBullet"/>
        <w:spacing w:before="0" w:after="60" w:line="276" w:lineRule="auto"/>
      </w:pPr>
      <w:r>
        <w:rPr>
          <w:rFonts w:ascii="Calibri" w:hAnsi="Calibri"/>
          <w:b/>
          <w:color w:val="1F2937"/>
          <w:sz w:val="20"/>
        </w:rPr>
        <w:t xml:space="preserve">UD 12. Componentes reutilizables (10 h): </w:t>
      </w:r>
      <w:r>
        <w:rPr>
          <w:rFonts w:ascii="Calibri" w:hAnsi="Calibri"/>
          <w:color w:val="1F2937"/>
          <w:sz w:val="20"/>
        </w:rPr>
        <w:t>Principios SOLID de UI, catálogo de componentes con Tailwind, proyección ng-content, estados de interfaz (loading, empty, error, data) y accesibilidad. Material: docs/11-componentes-reutilizables.md. RAs: RA3.</w:t>
      </w:r>
    </w:p>
    <w:p>
      <w:pPr>
        <w:pStyle w:val="ListBullet"/>
        <w:spacing w:before="0" w:after="60" w:line="276" w:lineRule="auto"/>
      </w:pPr>
      <w:r>
        <w:rPr>
          <w:rFonts w:ascii="Calibri" w:hAnsi="Calibri"/>
          <w:b/>
          <w:color w:val="1F2937"/>
          <w:sz w:val="20"/>
        </w:rPr>
        <w:t xml:space="preserve">UD 13. Formularios e interacción (10 h): </w:t>
      </w:r>
      <w:r>
        <w:rPr>
          <w:rFonts w:ascii="Calibri" w:hAnsi="Calibri"/>
          <w:color w:val="1F2937"/>
          <w:sz w:val="20"/>
        </w:rPr>
        <w:t>Reactive Forms avanzados, validadores síncronos/asíncronos, mensajes contextuales, wizards multipaso y FormArray. Material: docs/12-formularios-interaccion.md. RAs: RA1, RA3, RA4.</w:t>
      </w:r>
    </w:p>
    <w:p>
      <w:pPr>
        <w:pStyle w:val="ListBullet"/>
        <w:spacing w:before="0" w:after="60" w:line="276" w:lineRule="auto"/>
      </w:pPr>
      <w:r>
        <w:rPr>
          <w:rFonts w:ascii="Calibri" w:hAnsi="Calibri"/>
          <w:b/>
          <w:color w:val="1F2937"/>
          <w:sz w:val="20"/>
        </w:rPr>
        <w:t xml:space="preserve">UD 14. Design systems (8 h): </w:t>
      </w:r>
      <w:r>
        <w:rPr>
          <w:rFonts w:ascii="Calibri" w:hAnsi="Calibri"/>
          <w:color w:val="1F2937"/>
          <w:sz w:val="20"/>
        </w:rPr>
        <w:t>Atomic Design en Angular, design tokens sincronizados Figma-código y ThemeProvider con signals (claro, oscuro, alto contraste). Material: docs/13-design-systems.md. RAs: RA1, RA3, RA4.</w:t>
      </w:r>
    </w:p>
    <w:p>
      <w:pPr>
        <w:pStyle w:val="ListBullet"/>
        <w:spacing w:before="0" w:after="60" w:line="276" w:lineRule="auto"/>
      </w:pPr>
      <w:r>
        <w:rPr>
          <w:rFonts w:ascii="Calibri" w:hAnsi="Calibri"/>
          <w:b/>
          <w:color w:val="1F2937"/>
          <w:sz w:val="20"/>
        </w:rPr>
        <w:t xml:space="preserve">UD 15. Documentación de componentes con Storybook (6 h): </w:t>
      </w:r>
      <w:r>
        <w:rPr>
          <w:rFonts w:ascii="Calibri" w:hAnsi="Calibri"/>
          <w:color w:val="1F2937"/>
          <w:sz w:val="20"/>
        </w:rPr>
        <w:t>Configuración en Angular, stories CSF3, addons (Controls, Actions, A11y, Interactions), MDX y Chromatic. Material: docs/14-storybook.md. RAs: RA3, RA6.</w:t>
      </w:r>
    </w:p>
    <w:p>
      <w:pPr>
        <w:pStyle w:val="ListBullet"/>
        <w:spacing w:before="0" w:after="60" w:line="276" w:lineRule="auto"/>
      </w:pPr>
      <w:r>
        <w:rPr>
          <w:rFonts w:ascii="Calibri" w:hAnsi="Calibri"/>
          <w:b/>
          <w:color w:val="1F2937"/>
          <w:sz w:val="20"/>
        </w:rPr>
        <w:t xml:space="preserve">UD 16. Del diseño a la implementación (10 h): </w:t>
      </w:r>
      <w:r>
        <w:rPr>
          <w:rFonts w:ascii="Calibri" w:hAnsi="Calibri"/>
          <w:color w:val="1F2937"/>
          <w:sz w:val="20"/>
        </w:rPr>
        <w:t>Handoff desde Figma Dev Mode, extracción de tokens a @theme, Atomic Design en Angular y checklist de calidad. Material: docs/15-diseno-a-implementacion.md. RAs: RA1, RA3.</w:t>
      </w:r>
    </w:p>
    <w:p>
      <w:pPr>
        <w:pStyle w:val="ListBullet"/>
        <w:spacing w:before="0" w:after="60" w:line="276" w:lineRule="auto"/>
      </w:pPr>
      <w:r>
        <w:rPr>
          <w:rFonts w:ascii="Calibri" w:hAnsi="Calibri"/>
          <w:b/>
          <w:color w:val="1F2937"/>
          <w:sz w:val="20"/>
        </w:rPr>
        <w:t xml:space="preserve">UD 17. Generación de informes y documentos (8 h): </w:t>
      </w:r>
      <w:r>
        <w:rPr>
          <w:rFonts w:ascii="Calibri" w:hAnsi="Calibri"/>
          <w:color w:val="1F2937"/>
          <w:sz w:val="20"/>
        </w:rPr>
        <w:t>Generación cliente/servidor con PDFMake, jsPDF y SheetJS (facturas, informes de ventas con gráficos, certificados y CSV/Excel). Material: docs/16-generacion-informes.md. RAs: RA5.</w:t>
      </w:r>
    </w:p>
    <w:p>
      <w:pPr>
        <w:pStyle w:val="ListBullet"/>
        <w:spacing w:before="0" w:after="60" w:line="276" w:lineRule="auto"/>
      </w:pPr>
      <w:r>
        <w:rPr>
          <w:rFonts w:ascii="Calibri" w:hAnsi="Calibri"/>
          <w:b/>
          <w:color w:val="1F2937"/>
          <w:sz w:val="20"/>
        </w:rPr>
        <w:t xml:space="preserve">UD 18. Dashboards y visualización de datos (8 h): </w:t>
      </w:r>
      <w:r>
        <w:rPr>
          <w:rFonts w:ascii="Calibri" w:hAnsi="Calibri"/>
          <w:color w:val="1F2937"/>
          <w:sz w:val="20"/>
        </w:rPr>
        <w:t>Principios data-ink ratio, integración de Chart.js y ApexCharts con signals en Angular, tarjetas KPI y exportación. Material: docs/17-dashboards-exportacion-datos.md. RAs: RA5.</w:t>
      </w:r>
    </w:p>
    <w:p>
      <w:pPr>
        <w:pStyle w:val="ListBullet"/>
        <w:spacing w:before="0" w:after="60" w:line="276" w:lineRule="auto"/>
      </w:pPr>
      <w:r>
        <w:rPr>
          <w:rFonts w:ascii="Calibri" w:hAnsi="Calibri"/>
          <w:b/>
          <w:color w:val="1F2937"/>
          <w:sz w:val="20"/>
        </w:rPr>
        <w:t xml:space="preserve">UD 19. Documentación de aplicaciones (6 h): </w:t>
      </w:r>
      <w:r>
        <w:rPr>
          <w:rFonts w:ascii="Calibri" w:hAnsi="Calibri"/>
          <w:color w:val="1F2937"/>
          <w:sz w:val="20"/>
        </w:rPr>
        <w:t>Ayudas sensibles al contexto, manuales de usuario/instalación/administración, generadores estáticos (Docusaurus/MkDocs) y TSDoc. Material: docs/18-documentacion-aplicaciones.md. RAs: RA6.</w:t>
      </w:r>
    </w:p>
    <w:p>
      <w:pPr>
        <w:pStyle w:val="ListBullet"/>
        <w:spacing w:before="0" w:after="60" w:line="276" w:lineRule="auto"/>
      </w:pPr>
      <w:r>
        <w:rPr>
          <w:rFonts w:ascii="Calibri" w:hAnsi="Calibri"/>
          <w:b/>
          <w:color w:val="1F2937"/>
          <w:sz w:val="20"/>
        </w:rPr>
        <w:t xml:space="preserve">UD 20. Pruebas de software (6 h): </w:t>
      </w:r>
      <w:r>
        <w:rPr>
          <w:rFonts w:ascii="Calibri" w:hAnsi="Calibri"/>
          <w:color w:val="1F2937"/>
          <w:sz w:val="20"/>
        </w:rPr>
        <w:t>Pirámide de pruebas: unitarias en componentes/servicios Angular con mocks, pruebas E2E con Playwright/Cypress y pruebas de carga/seguridad. Material: docs/19-pruebas-de-software.md. RAs: RA8.</w:t>
      </w:r>
    </w:p>
    <w:p>
      <w:pPr>
        <w:pStyle w:val="ListBullet"/>
        <w:spacing w:before="0" w:after="60" w:line="276" w:lineRule="auto"/>
      </w:pPr>
      <w:r>
        <w:rPr>
          <w:rFonts w:ascii="Calibri" w:hAnsi="Calibri"/>
          <w:b/>
          <w:color w:val="1F2937"/>
          <w:sz w:val="20"/>
        </w:rPr>
        <w:t xml:space="preserve">UD 21. Aplicaciones de escritorio con Electron (8 h): </w:t>
      </w:r>
      <w:r>
        <w:rPr>
          <w:rFonts w:ascii="Calibri" w:hAnsi="Calibri"/>
          <w:color w:val="1F2937"/>
          <w:sz w:val="20"/>
        </w:rPr>
        <w:t>Arquitectura de procesos Main/Renderer, scripts preload, IPC seguro con contextBridge, APIs nativas del SO y Angular+Electron. Material: docs/20-electron.md. RAs: RA1, RA7.</w:t>
      </w:r>
    </w:p>
    <w:p>
      <w:pPr>
        <w:pStyle w:val="ListBullet"/>
        <w:spacing w:before="0" w:after="60" w:line="276" w:lineRule="auto"/>
      </w:pPr>
      <w:r>
        <w:rPr>
          <w:rFonts w:ascii="Calibri" w:hAnsi="Calibri"/>
          <w:b/>
          <w:color w:val="1F2937"/>
          <w:sz w:val="20"/>
        </w:rPr>
        <w:t xml:space="preserve">UD 22. Empaquetado y distribución de aplicaciones (8 h): </w:t>
      </w:r>
      <w:r>
        <w:rPr>
          <w:rFonts w:ascii="Calibri" w:hAnsi="Calibri"/>
          <w:color w:val="1F2937"/>
          <w:sz w:val="20"/>
        </w:rPr>
        <w:t>Configuración de electron-builder, instaladores NSIS/AppImage/deb/DMG, firma de código, autoactualizaciones con electron-updater y CI/CD en GitHub Actions. Material: docs/21-empaquetado-distribucion.md. RAs: RA7.</w:t>
      </w:r>
    </w:p>
    <w:p>
      <w:pPr>
        <w:pStyle w:val="ListBullet"/>
        <w:spacing w:before="0" w:after="60" w:line="276" w:lineRule="auto"/>
      </w:pPr>
      <w:r>
        <w:rPr>
          <w:rFonts w:ascii="Calibri" w:hAnsi="Calibri"/>
          <w:b/>
          <w:color w:val="1F2937"/>
          <w:sz w:val="20"/>
        </w:rPr>
        <w:t xml:space="preserve">UD 23. Proyecto final integrador «GesFlow» (16 h): </w:t>
      </w:r>
      <w:r>
        <w:rPr>
          <w:rFonts w:ascii="Calibri" w:hAnsi="Calibri"/>
          <w:color w:val="1F2937"/>
          <w:sz w:val="20"/>
        </w:rPr>
        <w:t>Desarrollo en 9 fases de una aplicación empresarial completa multiplataforma (Angular + Tailwind + Electron + NUI + Informes + Pruebas + Storybook + Distribución) con defensa individual. Material: docs/22-proyecto-final.md. RAs: RA1 a RA8.</w:t>
      </w:r>
    </w:p>
    <w:p>
      <w:pPr>
        <w:keepNext/>
        <w:spacing w:before="360" w:after="120"/>
      </w:pPr>
      <w:r>
        <w:rPr>
          <w:rFonts w:ascii="Calibri" w:hAnsi="Calibri"/>
          <w:b/>
          <w:color w:val="0F4C81"/>
          <w:sz w:val="29"/>
        </w:rPr>
        <w:t>7. METODOLOGÍA DIDÁCTICA Y PRINCIPIOS PEDAGÓGICOS</w:t>
      </w:r>
    </w:p>
    <w:p>
      <w:pPr>
        <w:spacing w:before="0" w:after="80" w:line="276" w:lineRule="auto"/>
      </w:pPr>
      <w:r>
        <w:rPr>
          <w:rFonts w:ascii="Calibri" w:hAnsi="Calibri"/>
          <w:color w:val="1F2937"/>
          <w:sz w:val="20"/>
        </w:rPr>
        <w:t>La metodología de enseñanza se basa en el Aprendizaje Basado en Proyectos (ABP), el enfoque constructivista y el desarrollo iterativo ágil de software multiplataforma:</w:t>
      </w:r>
    </w:p>
    <w:p>
      <w:pPr>
        <w:pStyle w:val="ListBullet"/>
        <w:spacing w:before="0" w:after="60" w:line="276" w:lineRule="auto"/>
      </w:pPr>
      <w:r>
        <w:rPr>
          <w:rFonts w:ascii="Calibri" w:hAnsi="Calibri"/>
          <w:b/>
          <w:color w:val="1F2937"/>
          <w:sz w:val="20"/>
        </w:rPr>
        <w:t xml:space="preserve">Aprendizaje Basado en Proyectos (ABP): </w:t>
      </w:r>
      <w:r>
        <w:rPr>
          <w:rFonts w:ascii="Calibri" w:hAnsi="Calibri"/>
          <w:color w:val="1F2937"/>
          <w:sz w:val="20"/>
        </w:rPr>
        <w:t>Todo el módulo converge en la construcción progresiva de componentes y módulos que culminan en la aplicación empresarial GesFlow.</w:t>
      </w:r>
    </w:p>
    <w:p>
      <w:pPr>
        <w:pStyle w:val="ListBullet"/>
        <w:spacing w:before="0" w:after="60" w:line="276" w:lineRule="auto"/>
      </w:pPr>
      <w:r>
        <w:rPr>
          <w:rFonts w:ascii="Calibri" w:hAnsi="Calibri"/>
          <w:b/>
          <w:color w:val="1F2937"/>
          <w:sz w:val="20"/>
        </w:rPr>
        <w:t xml:space="preserve">Enfoque Learning by Doing: </w:t>
      </w:r>
      <w:r>
        <w:rPr>
          <w:rFonts w:ascii="Calibri" w:hAnsi="Calibri"/>
          <w:color w:val="1F2937"/>
          <w:sz w:val="20"/>
        </w:rPr>
        <w:t>Sesiones interactivas donde la teoría se traduce en código y componentes ejecutables en tiempo real (Visual Studio Code, Angular CLI, Figma, Electron, Storybook).</w:t>
      </w:r>
    </w:p>
    <w:p>
      <w:pPr>
        <w:pStyle w:val="ListBullet"/>
        <w:spacing w:before="0" w:after="60" w:line="276" w:lineRule="auto"/>
      </w:pPr>
      <w:r>
        <w:rPr>
          <w:rFonts w:ascii="Calibri" w:hAnsi="Calibri"/>
          <w:b/>
          <w:color w:val="1F2937"/>
          <w:sz w:val="20"/>
        </w:rPr>
        <w:t xml:space="preserve">Buenas Prácticas Profesionales: </w:t>
      </w:r>
      <w:r>
        <w:rPr>
          <w:rFonts w:ascii="Calibri" w:hAnsi="Calibri"/>
          <w:color w:val="1F2937"/>
          <w:sz w:val="20"/>
        </w:rPr>
        <w:t>Uso estricto de control de versiones con Git/GitHub, linters de accesibilidad (axe/ESLint), tipado estricto en TypeScript y metodologías de diseño atómico.</w:t>
      </w:r>
    </w:p>
    <w:p>
      <w:pPr>
        <w:keepNext/>
        <w:spacing w:before="360" w:after="120"/>
      </w:pPr>
      <w:r>
        <w:rPr>
          <w:rFonts w:ascii="Calibri" w:hAnsi="Calibri"/>
          <w:b/>
          <w:color w:val="0F4C81"/>
          <w:sz w:val="29"/>
        </w:rPr>
        <w:t>8. EVALUACIÓN, INSTRUMENTOS Y CRITERIOS DE CALIFICACIÓN</w:t>
      </w:r>
    </w:p>
    <w:p>
      <w:pPr>
        <w:spacing w:before="0" w:after="80" w:line="276" w:lineRule="auto"/>
      </w:pPr>
      <w:r>
        <w:rPr>
          <w:rFonts w:ascii="Calibri" w:hAnsi="Calibri"/>
          <w:color w:val="1F2937"/>
          <w:sz w:val="20"/>
        </w:rPr>
        <w:t>Conforme al Decreto 104/2024 y a la Orden de 18 de septiembre de 2025 de la Junta de Andalucía, la evaluación es continua, formativa, criterial e integradora.</w:t>
      </w:r>
    </w:p>
    <w:p>
      <w:pPr>
        <w:keepNext/>
        <w:spacing w:before="240" w:after="80"/>
      </w:pPr>
      <w:r>
        <w:rPr>
          <w:rFonts w:ascii="Calibri" w:hAnsi="Calibri"/>
          <w:b/>
          <w:color w:val="0D9488"/>
          <w:sz w:val="24"/>
        </w:rPr>
        <w:t>8.1 Instrumentos y Procedimientos de Evaluación</w:t>
      </w:r>
    </w:p>
    <w:p>
      <w:pPr>
        <w:pStyle w:val="ListBullet"/>
        <w:spacing w:before="0" w:after="60" w:line="276" w:lineRule="auto"/>
      </w:pPr>
      <w:r>
        <w:rPr>
          <w:rFonts w:ascii="Calibri" w:hAnsi="Calibri"/>
          <w:b/>
          <w:color w:val="1F2937"/>
          <w:sz w:val="20"/>
        </w:rPr>
        <w:t xml:space="preserve">1. Prácticas y Tareas de Laboratorio por Unidad (40%): </w:t>
      </w:r>
      <w:r>
        <w:rPr>
          <w:rFonts w:ascii="Calibri" w:hAnsi="Calibri"/>
          <w:color w:val="1F2937"/>
          <w:sz w:val="20"/>
        </w:rPr>
        <w:t>Ejercicios de aula, prácticas de diseño en Figma, componentes de Tailwind, integración de NUI y pruebas unitarias (40% de la calificación).</w:t>
      </w:r>
    </w:p>
    <w:p>
      <w:pPr>
        <w:pStyle w:val="ListBullet"/>
        <w:spacing w:before="0" w:after="60" w:line="276" w:lineRule="auto"/>
      </w:pPr>
      <w:r>
        <w:rPr>
          <w:rFonts w:ascii="Calibri" w:hAnsi="Calibri"/>
          <w:b/>
          <w:color w:val="1F2937"/>
          <w:sz w:val="20"/>
        </w:rPr>
        <w:t xml:space="preserve">2. Proyecto Final Integrador «GesFlow» y Defensa Oral (40%): </w:t>
      </w:r>
      <w:r>
        <w:rPr>
          <w:rFonts w:ascii="Calibri" w:hAnsi="Calibri"/>
          <w:color w:val="1F2937"/>
          <w:sz w:val="20"/>
        </w:rPr>
        <w:t>Desarrollo de la aplicación multiplataforma GesFlow (Angular + Tailwind + Electron + Informes + Pruebas) con defensa oral individual (40% de la calificación).</w:t>
      </w:r>
    </w:p>
    <w:p>
      <w:pPr>
        <w:pStyle w:val="ListBullet"/>
        <w:spacing w:before="0" w:after="60" w:line="276" w:lineRule="auto"/>
      </w:pPr>
      <w:r>
        <w:rPr>
          <w:rFonts w:ascii="Calibri" w:hAnsi="Calibri"/>
          <w:b/>
          <w:color w:val="1F2937"/>
          <w:sz w:val="20"/>
        </w:rPr>
        <w:t xml:space="preserve">3. Pruebas Objetivas y Supuestos Prácticos (20%): </w:t>
      </w:r>
      <w:r>
        <w:rPr>
          <w:rFonts w:ascii="Calibri" w:hAnsi="Calibri"/>
          <w:color w:val="1F2937"/>
          <w:sz w:val="20"/>
        </w:rPr>
        <w:t>Pruebas escritas y supuestos prácticos de desarrollo para verificar la asimilación autónoma de los criterios de evaluación (20% de la calificación).</w:t>
      </w:r>
    </w:p>
    <w:p>
      <w:pPr>
        <w:keepNext/>
        <w:spacing w:before="240" w:after="80"/>
      </w:pPr>
      <w:r>
        <w:rPr>
          <w:rFonts w:ascii="Calibri" w:hAnsi="Calibri"/>
          <w:b/>
          <w:color w:val="0D9488"/>
          <w:sz w:val="24"/>
        </w:rPr>
        <w:t>8.2 Criterios de Calificación y Superación</w:t>
      </w:r>
    </w:p>
    <w:p>
      <w:pPr>
        <w:pStyle w:val="ListBullet"/>
        <w:spacing w:before="0" w:after="60" w:line="276" w:lineRule="auto"/>
      </w:pPr>
      <w:r>
        <w:rPr>
          <w:rFonts w:ascii="Calibri" w:hAnsi="Calibri"/>
          <w:b/>
          <w:color w:val="1F2937"/>
          <w:sz w:val="20"/>
        </w:rPr>
        <w:t xml:space="preserve">Superación Criterial Obligatoria: </w:t>
      </w:r>
      <w:r>
        <w:rPr>
          <w:rFonts w:ascii="Calibri" w:hAnsi="Calibri"/>
          <w:color w:val="1F2937"/>
          <w:sz w:val="20"/>
        </w:rPr>
        <w:t>Para superar el módulo profesional, es preceptivo que la media ponderada de los Criterios de Evaluación asociados a cada uno de los 8 Resultados de Aprendizaje (RA1 a RA8) alcance una calificación igual o superior a 5,0 puntos sobre 10.</w:t>
      </w:r>
    </w:p>
    <w:p>
      <w:pPr>
        <w:pStyle w:val="ListBullet"/>
        <w:spacing w:before="0" w:after="60" w:line="276" w:lineRule="auto"/>
      </w:pPr>
      <w:r>
        <w:rPr>
          <w:rFonts w:ascii="Calibri" w:hAnsi="Calibri"/>
          <w:b/>
          <w:color w:val="1F2937"/>
          <w:sz w:val="20"/>
        </w:rPr>
        <w:t xml:space="preserve">Calificación Final: </w:t>
      </w:r>
      <w:r>
        <w:rPr>
          <w:rFonts w:ascii="Calibri" w:hAnsi="Calibri"/>
          <w:color w:val="1F2937"/>
          <w:sz w:val="20"/>
        </w:rPr>
        <w:t>La calificación final del módulo será la media aritmética ponderada de todos los criterios evaluados, redondeada a un número entero entre 1 y 10.</w:t>
      </w:r>
    </w:p>
    <w:p>
      <w:pPr>
        <w:pStyle w:val="ListBullet"/>
        <w:spacing w:before="0" w:after="60" w:line="276" w:lineRule="auto"/>
      </w:pPr>
      <w:r>
        <w:rPr>
          <w:rFonts w:ascii="Calibri" w:hAnsi="Calibri"/>
          <w:b/>
          <w:color w:val="1F2937"/>
          <w:sz w:val="20"/>
        </w:rPr>
        <w:t xml:space="preserve">Recuperación y Convocatoria Extraordinaria: </w:t>
      </w:r>
      <w:r>
        <w:rPr>
          <w:rFonts w:ascii="Calibri" w:hAnsi="Calibri"/>
          <w:color w:val="1F2937"/>
          <w:sz w:val="20"/>
        </w:rPr>
        <w:t>Planes de refuerzo continuo para proyectos no superados y convocatoria extraordinaria en junio centrada exclusivamente en los RA suspensos.</w:t>
      </w:r>
    </w:p>
    <w:p>
      <w:pPr>
        <w:keepNext/>
        <w:spacing w:before="360" w:after="120"/>
      </w:pPr>
      <w:r>
        <w:rPr>
          <w:rFonts w:ascii="Calibri" w:hAnsi="Calibri"/>
          <w:b/>
          <w:color w:val="0F4C81"/>
          <w:sz w:val="29"/>
        </w:rPr>
        <w:t>9. FORMACIÓN EN EMPRESA U ORGANISMO EQUIPARADO (RÉGIMEN DUAL EN 2º DAM)</w:t>
      </w:r>
    </w:p>
    <w:p>
      <w:pPr>
        <w:spacing w:before="0" w:after="80" w:line="276" w:lineRule="auto"/>
      </w:pPr>
      <w:r>
        <w:rPr>
          <w:rFonts w:ascii="Calibri" w:hAnsi="Calibri"/>
          <w:color w:val="1F2937"/>
          <w:sz w:val="20"/>
        </w:rPr>
        <w:t>En cumplimiento de la Ley Orgánica 3/2022, el Real Decreto 659/2023, el Decreto 104/2024 y la Orden de 26 de septiembre de 2025 de la Junta de Andalucía, el ciclo de DAM se imparte en modalidad dual general (400 horas totales en empresas en 2º curso):</w:t>
      </w:r>
    </w:p>
    <w:tbl>
      <w:tblPr>
        <w:tblW w:type="auto" w:w="0"/>
        <w:jc w:val="center"/>
        <w:tblLayout w:type="fixed"/>
        <w:tblLook w:firstColumn="1" w:firstRow="1" w:lastColumn="0" w:lastRow="0" w:noHBand="0" w:noVBand="1" w:val="04A0"/>
        <w:tblBorders>
          <w:top w:val="single" w:sz="4" w:space="0" w:color="D1D5DB"/>
          <w:bottom w:val="single" w:sz="4" w:space="0" w:color="D1D5DB"/>
          <w:left w:val="none"/>
          <w:right w:val="none"/>
          <w:insideH w:val="single" w:sz="4" w:space="0" w:color="D1D5DB"/>
          <w:insideV w:val="none"/>
        </w:tblBorders>
      </w:tblPr>
      <w:tblGrid>
        <w:gridCol w:w="2412"/>
        <w:gridCol w:w="2412"/>
        <w:gridCol w:w="2412"/>
        <w:gridCol w:w="2412"/>
      </w:tblGrid>
      <w:tr>
        <w:tc>
          <w:tcPr>
            <w:tcW w:type="dxa" w:w="4032"/>
            <w:shd w:fill="0F4C81"/>
            <w:tcMar>
              <w:top w:w="120" w:type="dxa"/>
              <w:bottom w:w="120" w:type="dxa"/>
              <w:left w:w="140" w:type="dxa"/>
              <w:right w:w="140" w:type="dxa"/>
            </w:tcMar>
          </w:tcPr>
          <w:p>
            <w:pPr>
              <w:spacing w:before="0" w:after="0"/>
            </w:pPr>
            <w:r>
              <w:rPr>
                <w:rFonts w:ascii="Calibri" w:hAnsi="Calibri"/>
                <w:b/>
                <w:color w:val="FFFFFF"/>
                <w:sz w:val="19"/>
              </w:rPr>
              <w:t>Módulo Profesional (2º DAM)</w:t>
            </w:r>
          </w:p>
        </w:tc>
        <w:tc>
          <w:tcPr>
            <w:tcW w:type="dxa" w:w="1728"/>
            <w:shd w:fill="0F4C81"/>
            <w:tcMar>
              <w:top w:w="120" w:type="dxa"/>
              <w:bottom w:w="120" w:type="dxa"/>
              <w:left w:w="140" w:type="dxa"/>
              <w:right w:w="140" w:type="dxa"/>
            </w:tcMar>
          </w:tcPr>
          <w:p>
            <w:pPr>
              <w:spacing w:before="0" w:after="0"/>
            </w:pPr>
            <w:r>
              <w:rPr>
                <w:rFonts w:ascii="Calibri" w:hAnsi="Calibri"/>
                <w:b/>
                <w:color w:val="FFFFFF"/>
                <w:sz w:val="19"/>
              </w:rPr>
              <w:t>Horas Totales</w:t>
            </w:r>
          </w:p>
        </w:tc>
        <w:tc>
          <w:tcPr>
            <w:tcW w:type="dxa" w:w="1872"/>
            <w:shd w:fill="0F4C81"/>
            <w:tcMar>
              <w:top w:w="120" w:type="dxa"/>
              <w:bottom w:w="120" w:type="dxa"/>
              <w:left w:w="140" w:type="dxa"/>
              <w:right w:w="140" w:type="dxa"/>
            </w:tcMar>
          </w:tcPr>
          <w:p>
            <w:pPr>
              <w:spacing w:before="0" w:after="0"/>
            </w:pPr>
            <w:r>
              <w:rPr>
                <w:rFonts w:ascii="Calibri" w:hAnsi="Calibri"/>
                <w:b/>
                <w:color w:val="FFFFFF"/>
                <w:sz w:val="19"/>
              </w:rPr>
              <w:t>Horas en Centro</w:t>
            </w:r>
          </w:p>
        </w:tc>
        <w:tc>
          <w:tcPr>
            <w:tcW w:type="dxa" w:w="2016"/>
            <w:shd w:fill="0F4C81"/>
            <w:tcMar>
              <w:top w:w="120" w:type="dxa"/>
              <w:bottom w:w="120" w:type="dxa"/>
              <w:left w:w="140" w:type="dxa"/>
              <w:right w:w="140" w:type="dxa"/>
            </w:tcMar>
          </w:tcPr>
          <w:p>
            <w:pPr>
              <w:spacing w:before="0" w:after="0"/>
            </w:pPr>
            <w:r>
              <w:rPr>
                <w:rFonts w:ascii="Calibri" w:hAnsi="Calibri"/>
                <w:b/>
                <w:color w:val="FFFFFF"/>
                <w:sz w:val="19"/>
              </w:rPr>
              <w:t>Horas en Empresa (Dual)</w:t>
            </w:r>
          </w:p>
        </w:tc>
      </w:tr>
      <w:tr>
        <w:tc>
          <w:tcPr>
            <w:tcW w:type="dxa" w:w="4032"/>
            <w:shd w:fill="FFFFFF"/>
            <w:tcMar>
              <w:top w:w="100" w:type="dxa"/>
              <w:bottom w:w="100" w:type="dxa"/>
              <w:left w:w="140" w:type="dxa"/>
              <w:right w:w="140" w:type="dxa"/>
            </w:tcMar>
          </w:tcPr>
          <w:p>
            <w:pPr>
              <w:spacing w:before="0" w:after="0" w:line="264" w:lineRule="auto"/>
            </w:pPr>
            <w:r>
              <w:rPr>
                <w:rFonts w:ascii="Calibri" w:hAnsi="Calibri"/>
                <w:color w:val="1F2937"/>
                <w:sz w:val="18"/>
              </w:rPr>
              <w:t>Programación de Servicios y Procesos (PSP)</w:t>
            </w:r>
          </w:p>
        </w:tc>
        <w:tc>
          <w:tcPr>
            <w:tcW w:type="dxa" w:w="1728"/>
            <w:shd w:fill="FFFFFF"/>
            <w:tcMar>
              <w:top w:w="100" w:type="dxa"/>
              <w:bottom w:w="100" w:type="dxa"/>
              <w:left w:w="140" w:type="dxa"/>
              <w:right w:w="140" w:type="dxa"/>
            </w:tcMar>
          </w:tcPr>
          <w:p>
            <w:pPr>
              <w:spacing w:before="0" w:after="0" w:line="264" w:lineRule="auto"/>
            </w:pPr>
            <w:r>
              <w:rPr>
                <w:rFonts w:ascii="Calibri" w:hAnsi="Calibri"/>
                <w:color w:val="1F2937"/>
                <w:sz w:val="18"/>
              </w:rPr>
              <w:t>105 h</w:t>
            </w:r>
          </w:p>
        </w:tc>
        <w:tc>
          <w:tcPr>
            <w:tcW w:type="dxa" w:w="1872"/>
            <w:shd w:fill="FFFFFF"/>
            <w:tcMar>
              <w:top w:w="100" w:type="dxa"/>
              <w:bottom w:w="100" w:type="dxa"/>
              <w:left w:w="140" w:type="dxa"/>
              <w:right w:w="140" w:type="dxa"/>
            </w:tcMar>
          </w:tcPr>
          <w:p>
            <w:pPr>
              <w:spacing w:before="0" w:after="0" w:line="264" w:lineRule="auto"/>
            </w:pPr>
            <w:r>
              <w:rPr>
                <w:rFonts w:ascii="Calibri" w:hAnsi="Calibri"/>
                <w:color w:val="1F2937"/>
                <w:sz w:val="18"/>
              </w:rPr>
              <w:t>62 h</w:t>
            </w:r>
          </w:p>
        </w:tc>
        <w:tc>
          <w:tcPr>
            <w:tcW w:type="dxa" w:w="2016"/>
            <w:shd w:fill="FFFFFF"/>
            <w:tcMar>
              <w:top w:w="100" w:type="dxa"/>
              <w:bottom w:w="100" w:type="dxa"/>
              <w:left w:w="140" w:type="dxa"/>
              <w:right w:w="140" w:type="dxa"/>
            </w:tcMar>
          </w:tcPr>
          <w:p>
            <w:pPr>
              <w:spacing w:before="0" w:after="0" w:line="264" w:lineRule="auto"/>
            </w:pPr>
            <w:r>
              <w:rPr>
                <w:rFonts w:ascii="Calibri" w:hAnsi="Calibri"/>
                <w:color w:val="1F2937"/>
                <w:sz w:val="18"/>
              </w:rPr>
              <w:t>43 h</w:t>
            </w:r>
          </w:p>
        </w:tc>
      </w:tr>
      <w:tr>
        <w:tc>
          <w:tcPr>
            <w:tcW w:type="dxa" w:w="4032"/>
            <w:shd w:fill="F9FAFB"/>
            <w:tcMar>
              <w:top w:w="100" w:type="dxa"/>
              <w:bottom w:w="100" w:type="dxa"/>
              <w:left w:w="140" w:type="dxa"/>
              <w:right w:w="140" w:type="dxa"/>
            </w:tcMar>
          </w:tcPr>
          <w:p>
            <w:pPr>
              <w:spacing w:before="0" w:after="0" w:line="264" w:lineRule="auto"/>
            </w:pPr>
            <w:r>
              <w:rPr>
                <w:rFonts w:ascii="Calibri" w:hAnsi="Calibri"/>
                <w:color w:val="1F2937"/>
                <w:sz w:val="18"/>
              </w:rPr>
              <w:t>Desarrollo de Interfaces (DI)</w:t>
            </w:r>
          </w:p>
        </w:tc>
        <w:tc>
          <w:tcPr>
            <w:tcW w:type="dxa" w:w="1728"/>
            <w:shd w:fill="F9FAFB"/>
            <w:tcMar>
              <w:top w:w="100" w:type="dxa"/>
              <w:bottom w:w="100" w:type="dxa"/>
              <w:left w:w="140" w:type="dxa"/>
              <w:right w:w="140" w:type="dxa"/>
            </w:tcMar>
          </w:tcPr>
          <w:p>
            <w:pPr>
              <w:spacing w:before="0" w:after="0" w:line="264" w:lineRule="auto"/>
            </w:pPr>
            <w:r>
              <w:rPr>
                <w:rFonts w:ascii="Calibri" w:hAnsi="Calibri"/>
                <w:color w:val="1F2937"/>
                <w:sz w:val="18"/>
              </w:rPr>
              <w:t>210 h</w:t>
            </w:r>
          </w:p>
        </w:tc>
        <w:tc>
          <w:tcPr>
            <w:tcW w:type="dxa" w:w="1872"/>
            <w:shd w:fill="F9FAFB"/>
            <w:tcMar>
              <w:top w:w="100" w:type="dxa"/>
              <w:bottom w:w="100" w:type="dxa"/>
              <w:left w:w="140" w:type="dxa"/>
              <w:right w:w="140" w:type="dxa"/>
            </w:tcMar>
          </w:tcPr>
          <w:p>
            <w:pPr>
              <w:spacing w:before="0" w:after="0" w:line="264" w:lineRule="auto"/>
            </w:pPr>
            <w:r>
              <w:rPr>
                <w:rFonts w:ascii="Calibri" w:hAnsi="Calibri"/>
                <w:color w:val="1F2937"/>
                <w:sz w:val="18"/>
              </w:rPr>
              <w:t>124 h</w:t>
            </w:r>
          </w:p>
        </w:tc>
        <w:tc>
          <w:tcPr>
            <w:tcW w:type="dxa" w:w="2016"/>
            <w:shd w:fill="F9FAFB"/>
            <w:tcMar>
              <w:top w:w="100" w:type="dxa"/>
              <w:bottom w:w="100" w:type="dxa"/>
              <w:left w:w="140" w:type="dxa"/>
              <w:right w:w="140" w:type="dxa"/>
            </w:tcMar>
          </w:tcPr>
          <w:p>
            <w:pPr>
              <w:spacing w:before="0" w:after="0" w:line="264" w:lineRule="auto"/>
            </w:pPr>
            <w:r>
              <w:rPr>
                <w:rFonts w:ascii="Calibri" w:hAnsi="Calibri"/>
                <w:color w:val="1F2937"/>
                <w:sz w:val="18"/>
              </w:rPr>
              <w:t>86 h</w:t>
            </w:r>
          </w:p>
        </w:tc>
      </w:tr>
      <w:tr>
        <w:tc>
          <w:tcPr>
            <w:tcW w:type="dxa" w:w="4032"/>
            <w:shd w:fill="FFFFFF"/>
            <w:tcMar>
              <w:top w:w="100" w:type="dxa"/>
              <w:bottom w:w="100" w:type="dxa"/>
              <w:left w:w="140" w:type="dxa"/>
              <w:right w:w="140" w:type="dxa"/>
            </w:tcMar>
          </w:tcPr>
          <w:p>
            <w:pPr>
              <w:spacing w:before="0" w:after="0" w:line="264" w:lineRule="auto"/>
            </w:pPr>
            <w:r>
              <w:rPr>
                <w:rFonts w:ascii="Calibri" w:hAnsi="Calibri"/>
                <w:color w:val="1F2937"/>
                <w:sz w:val="18"/>
              </w:rPr>
              <w:t>Programación Multimedia y Dispositivos Móviles (PMDM)</w:t>
            </w:r>
          </w:p>
        </w:tc>
        <w:tc>
          <w:tcPr>
            <w:tcW w:type="dxa" w:w="1728"/>
            <w:shd w:fill="FFFFFF"/>
            <w:tcMar>
              <w:top w:w="100" w:type="dxa"/>
              <w:bottom w:w="100" w:type="dxa"/>
              <w:left w:w="140" w:type="dxa"/>
              <w:right w:w="140" w:type="dxa"/>
            </w:tcMar>
          </w:tcPr>
          <w:p>
            <w:pPr>
              <w:spacing w:before="0" w:after="0" w:line="264" w:lineRule="auto"/>
            </w:pPr>
            <w:r>
              <w:rPr>
                <w:rFonts w:ascii="Calibri" w:hAnsi="Calibri"/>
                <w:color w:val="1F2937"/>
                <w:sz w:val="18"/>
              </w:rPr>
              <w:t>105 h</w:t>
            </w:r>
          </w:p>
        </w:tc>
        <w:tc>
          <w:tcPr>
            <w:tcW w:type="dxa" w:w="1872"/>
            <w:shd w:fill="FFFFFF"/>
            <w:tcMar>
              <w:top w:w="100" w:type="dxa"/>
              <w:bottom w:w="100" w:type="dxa"/>
              <w:left w:w="140" w:type="dxa"/>
              <w:right w:w="140" w:type="dxa"/>
            </w:tcMar>
          </w:tcPr>
          <w:p>
            <w:pPr>
              <w:spacing w:before="0" w:after="0" w:line="264" w:lineRule="auto"/>
            </w:pPr>
            <w:r>
              <w:rPr>
                <w:rFonts w:ascii="Calibri" w:hAnsi="Calibri"/>
                <w:color w:val="1F2937"/>
                <w:sz w:val="18"/>
              </w:rPr>
              <w:t>62 h</w:t>
            </w:r>
          </w:p>
        </w:tc>
        <w:tc>
          <w:tcPr>
            <w:tcW w:type="dxa" w:w="2016"/>
            <w:shd w:fill="FFFFFF"/>
            <w:tcMar>
              <w:top w:w="100" w:type="dxa"/>
              <w:bottom w:w="100" w:type="dxa"/>
              <w:left w:w="140" w:type="dxa"/>
              <w:right w:w="140" w:type="dxa"/>
            </w:tcMar>
          </w:tcPr>
          <w:p>
            <w:pPr>
              <w:spacing w:before="0" w:after="0" w:line="264" w:lineRule="auto"/>
            </w:pPr>
            <w:r>
              <w:rPr>
                <w:rFonts w:ascii="Calibri" w:hAnsi="Calibri"/>
                <w:color w:val="1F2937"/>
                <w:sz w:val="18"/>
              </w:rPr>
              <w:t>43 h</w:t>
            </w:r>
          </w:p>
        </w:tc>
      </w:tr>
      <w:tr>
        <w:tc>
          <w:tcPr>
            <w:tcW w:type="dxa" w:w="4032"/>
            <w:shd w:fill="F9FAFB"/>
            <w:tcMar>
              <w:top w:w="100" w:type="dxa"/>
              <w:bottom w:w="100" w:type="dxa"/>
              <w:left w:w="140" w:type="dxa"/>
              <w:right w:w="140" w:type="dxa"/>
            </w:tcMar>
          </w:tcPr>
          <w:p>
            <w:pPr>
              <w:spacing w:before="0" w:after="0" w:line="264" w:lineRule="auto"/>
            </w:pPr>
            <w:r>
              <w:rPr>
                <w:rFonts w:ascii="Calibri" w:hAnsi="Calibri"/>
                <w:color w:val="1F2937"/>
                <w:sz w:val="18"/>
              </w:rPr>
              <w:t>Acceso a Datos (AD)</w:t>
            </w:r>
          </w:p>
        </w:tc>
        <w:tc>
          <w:tcPr>
            <w:tcW w:type="dxa" w:w="1728"/>
            <w:shd w:fill="F9FAFB"/>
            <w:tcMar>
              <w:top w:w="100" w:type="dxa"/>
              <w:bottom w:w="100" w:type="dxa"/>
              <w:left w:w="140" w:type="dxa"/>
              <w:right w:w="140" w:type="dxa"/>
            </w:tcMar>
          </w:tcPr>
          <w:p>
            <w:pPr>
              <w:spacing w:before="0" w:after="0" w:line="264" w:lineRule="auto"/>
            </w:pPr>
            <w:r>
              <w:rPr>
                <w:rFonts w:ascii="Calibri" w:hAnsi="Calibri"/>
                <w:color w:val="1F2937"/>
                <w:sz w:val="18"/>
              </w:rPr>
              <w:t>140 h</w:t>
            </w:r>
          </w:p>
        </w:tc>
        <w:tc>
          <w:tcPr>
            <w:tcW w:type="dxa" w:w="1872"/>
            <w:shd w:fill="F9FAFB"/>
            <w:tcMar>
              <w:top w:w="100" w:type="dxa"/>
              <w:bottom w:w="100" w:type="dxa"/>
              <w:left w:w="140" w:type="dxa"/>
              <w:right w:w="140" w:type="dxa"/>
            </w:tcMar>
          </w:tcPr>
          <w:p>
            <w:pPr>
              <w:spacing w:before="0" w:after="0" w:line="264" w:lineRule="auto"/>
            </w:pPr>
            <w:r>
              <w:rPr>
                <w:rFonts w:ascii="Calibri" w:hAnsi="Calibri"/>
                <w:color w:val="1F2937"/>
                <w:sz w:val="18"/>
              </w:rPr>
              <w:t>83 h</w:t>
            </w:r>
          </w:p>
        </w:tc>
        <w:tc>
          <w:tcPr>
            <w:tcW w:type="dxa" w:w="2016"/>
            <w:shd w:fill="F9FAFB"/>
            <w:tcMar>
              <w:top w:w="100" w:type="dxa"/>
              <w:bottom w:w="100" w:type="dxa"/>
              <w:left w:w="140" w:type="dxa"/>
              <w:right w:w="140" w:type="dxa"/>
            </w:tcMar>
          </w:tcPr>
          <w:p>
            <w:pPr>
              <w:spacing w:before="0" w:after="0" w:line="264" w:lineRule="auto"/>
            </w:pPr>
            <w:r>
              <w:rPr>
                <w:rFonts w:ascii="Calibri" w:hAnsi="Calibri"/>
                <w:color w:val="1F2937"/>
                <w:sz w:val="18"/>
              </w:rPr>
              <w:t>57 h</w:t>
            </w:r>
          </w:p>
        </w:tc>
      </w:tr>
      <w:tr>
        <w:tc>
          <w:tcPr>
            <w:tcW w:type="dxa" w:w="4032"/>
            <w:shd w:fill="FFFFFF"/>
            <w:tcMar>
              <w:top w:w="100" w:type="dxa"/>
              <w:bottom w:w="100" w:type="dxa"/>
              <w:left w:w="140" w:type="dxa"/>
              <w:right w:w="140" w:type="dxa"/>
            </w:tcMar>
          </w:tcPr>
          <w:p>
            <w:pPr>
              <w:spacing w:before="0" w:after="0" w:line="264" w:lineRule="auto"/>
            </w:pPr>
            <w:r>
              <w:rPr>
                <w:rFonts w:ascii="Calibri" w:hAnsi="Calibri"/>
                <w:color w:val="1F2937"/>
                <w:sz w:val="18"/>
              </w:rPr>
              <w:t>Sistemas de Gestión Empresarial (SGE)</w:t>
            </w:r>
          </w:p>
        </w:tc>
        <w:tc>
          <w:tcPr>
            <w:tcW w:type="dxa" w:w="1728"/>
            <w:shd w:fill="FFFFFF"/>
            <w:tcMar>
              <w:top w:w="100" w:type="dxa"/>
              <w:bottom w:w="100" w:type="dxa"/>
              <w:left w:w="140" w:type="dxa"/>
              <w:right w:w="140" w:type="dxa"/>
            </w:tcMar>
          </w:tcPr>
          <w:p>
            <w:pPr>
              <w:spacing w:before="0" w:after="0" w:line="264" w:lineRule="auto"/>
            </w:pPr>
            <w:r>
              <w:rPr>
                <w:rFonts w:ascii="Calibri" w:hAnsi="Calibri"/>
                <w:color w:val="1F2937"/>
                <w:sz w:val="18"/>
              </w:rPr>
              <w:t>140 h</w:t>
            </w:r>
          </w:p>
        </w:tc>
        <w:tc>
          <w:tcPr>
            <w:tcW w:type="dxa" w:w="1872"/>
            <w:shd w:fill="FFFFFF"/>
            <w:tcMar>
              <w:top w:w="100" w:type="dxa"/>
              <w:bottom w:w="100" w:type="dxa"/>
              <w:left w:w="140" w:type="dxa"/>
              <w:right w:w="140" w:type="dxa"/>
            </w:tcMar>
          </w:tcPr>
          <w:p>
            <w:pPr>
              <w:spacing w:before="0" w:after="0" w:line="264" w:lineRule="auto"/>
            </w:pPr>
            <w:r>
              <w:rPr>
                <w:rFonts w:ascii="Calibri" w:hAnsi="Calibri"/>
                <w:color w:val="1F2937"/>
                <w:sz w:val="18"/>
              </w:rPr>
              <w:t>83 h</w:t>
            </w:r>
          </w:p>
        </w:tc>
        <w:tc>
          <w:tcPr>
            <w:tcW w:type="dxa" w:w="2016"/>
            <w:shd w:fill="FFFFFF"/>
            <w:tcMar>
              <w:top w:w="100" w:type="dxa"/>
              <w:bottom w:w="100" w:type="dxa"/>
              <w:left w:w="140" w:type="dxa"/>
              <w:right w:w="140" w:type="dxa"/>
            </w:tcMar>
          </w:tcPr>
          <w:p>
            <w:pPr>
              <w:spacing w:before="0" w:after="0" w:line="264" w:lineRule="auto"/>
            </w:pPr>
            <w:r>
              <w:rPr>
                <w:rFonts w:ascii="Calibri" w:hAnsi="Calibri"/>
                <w:color w:val="1F2937"/>
                <w:sz w:val="18"/>
              </w:rPr>
              <w:t>57 h</w:t>
            </w:r>
          </w:p>
        </w:tc>
      </w:tr>
      <w:tr>
        <w:tc>
          <w:tcPr>
            <w:tcW w:type="dxa" w:w="4032"/>
            <w:shd w:fill="F9FAFB"/>
            <w:tcMar>
              <w:top w:w="100" w:type="dxa"/>
              <w:bottom w:w="100" w:type="dxa"/>
              <w:left w:w="140" w:type="dxa"/>
              <w:right w:w="140" w:type="dxa"/>
            </w:tcMar>
          </w:tcPr>
          <w:p>
            <w:pPr>
              <w:spacing w:before="0" w:after="0" w:line="264" w:lineRule="auto"/>
            </w:pPr>
            <w:r>
              <w:rPr>
                <w:rFonts w:ascii="Calibri" w:hAnsi="Calibri"/>
                <w:color w:val="1F2937"/>
                <w:sz w:val="18"/>
              </w:rPr>
              <w:t>Módulo Optativo</w:t>
            </w:r>
          </w:p>
        </w:tc>
        <w:tc>
          <w:tcPr>
            <w:tcW w:type="dxa" w:w="1728"/>
            <w:shd w:fill="F9FAFB"/>
            <w:tcMar>
              <w:top w:w="100" w:type="dxa"/>
              <w:bottom w:w="100" w:type="dxa"/>
              <w:left w:w="140" w:type="dxa"/>
              <w:right w:w="140" w:type="dxa"/>
            </w:tcMar>
          </w:tcPr>
          <w:p>
            <w:pPr>
              <w:spacing w:before="0" w:after="0" w:line="264" w:lineRule="auto"/>
            </w:pPr>
            <w:r>
              <w:rPr>
                <w:rFonts w:ascii="Calibri" w:hAnsi="Calibri"/>
                <w:color w:val="1F2937"/>
                <w:sz w:val="18"/>
              </w:rPr>
              <w:t>105 h</w:t>
            </w:r>
          </w:p>
        </w:tc>
        <w:tc>
          <w:tcPr>
            <w:tcW w:type="dxa" w:w="1872"/>
            <w:shd w:fill="F9FAFB"/>
            <w:tcMar>
              <w:top w:w="100" w:type="dxa"/>
              <w:bottom w:w="100" w:type="dxa"/>
              <w:left w:w="140" w:type="dxa"/>
              <w:right w:w="140" w:type="dxa"/>
            </w:tcMar>
          </w:tcPr>
          <w:p>
            <w:pPr>
              <w:spacing w:before="0" w:after="0" w:line="264" w:lineRule="auto"/>
            </w:pPr>
            <w:r>
              <w:rPr>
                <w:rFonts w:ascii="Calibri" w:hAnsi="Calibri"/>
                <w:color w:val="1F2937"/>
                <w:sz w:val="18"/>
              </w:rPr>
              <w:t>62 h</w:t>
            </w:r>
          </w:p>
        </w:tc>
        <w:tc>
          <w:tcPr>
            <w:tcW w:type="dxa" w:w="2016"/>
            <w:shd w:fill="F9FAFB"/>
            <w:tcMar>
              <w:top w:w="100" w:type="dxa"/>
              <w:bottom w:w="100" w:type="dxa"/>
              <w:left w:w="140" w:type="dxa"/>
              <w:right w:w="140" w:type="dxa"/>
            </w:tcMar>
          </w:tcPr>
          <w:p>
            <w:pPr>
              <w:spacing w:before="0" w:after="0" w:line="264" w:lineRule="auto"/>
            </w:pPr>
            <w:r>
              <w:rPr>
                <w:rFonts w:ascii="Calibri" w:hAnsi="Calibri"/>
                <w:color w:val="1F2937"/>
                <w:sz w:val="18"/>
              </w:rPr>
              <w:t>43 h</w:t>
            </w:r>
          </w:p>
        </w:tc>
      </w:tr>
      <w:tr>
        <w:tc>
          <w:tcPr>
            <w:tcW w:type="dxa" w:w="4032"/>
            <w:shd w:fill="FFFFFF"/>
            <w:tcMar>
              <w:top w:w="100" w:type="dxa"/>
              <w:bottom w:w="100" w:type="dxa"/>
              <w:left w:w="140" w:type="dxa"/>
              <w:right w:w="140" w:type="dxa"/>
            </w:tcMar>
          </w:tcPr>
          <w:p>
            <w:pPr>
              <w:spacing w:before="0" w:after="0" w:line="264" w:lineRule="auto"/>
            </w:pPr>
            <w:r>
              <w:rPr>
                <w:rFonts w:ascii="Calibri" w:hAnsi="Calibri"/>
                <w:color w:val="1F2937"/>
                <w:sz w:val="18"/>
              </w:rPr>
              <w:t>Inglés Profesional</w:t>
            </w:r>
          </w:p>
        </w:tc>
        <w:tc>
          <w:tcPr>
            <w:tcW w:type="dxa" w:w="1728"/>
            <w:shd w:fill="FFFFFF"/>
            <w:tcMar>
              <w:top w:w="100" w:type="dxa"/>
              <w:bottom w:w="100" w:type="dxa"/>
              <w:left w:w="140" w:type="dxa"/>
              <w:right w:w="140" w:type="dxa"/>
            </w:tcMar>
          </w:tcPr>
          <w:p>
            <w:pPr>
              <w:spacing w:before="0" w:after="0" w:line="264" w:lineRule="auto"/>
            </w:pPr>
            <w:r>
              <w:rPr>
                <w:rFonts w:ascii="Calibri" w:hAnsi="Calibri"/>
                <w:color w:val="1F2937"/>
                <w:sz w:val="18"/>
              </w:rPr>
              <w:t>70 h</w:t>
            </w:r>
          </w:p>
        </w:tc>
        <w:tc>
          <w:tcPr>
            <w:tcW w:type="dxa" w:w="1872"/>
            <w:shd w:fill="FFFFFF"/>
            <w:tcMar>
              <w:top w:w="100" w:type="dxa"/>
              <w:bottom w:w="100" w:type="dxa"/>
              <w:left w:w="140" w:type="dxa"/>
              <w:right w:w="140" w:type="dxa"/>
            </w:tcMar>
          </w:tcPr>
          <w:p>
            <w:pPr>
              <w:spacing w:before="0" w:after="0" w:line="264" w:lineRule="auto"/>
            </w:pPr>
            <w:r>
              <w:rPr>
                <w:rFonts w:ascii="Calibri" w:hAnsi="Calibri"/>
                <w:color w:val="1F2937"/>
                <w:sz w:val="18"/>
              </w:rPr>
              <w:t>41 h</w:t>
            </w:r>
          </w:p>
        </w:tc>
        <w:tc>
          <w:tcPr>
            <w:tcW w:type="dxa" w:w="2016"/>
            <w:shd w:fill="FFFFFF"/>
            <w:tcMar>
              <w:top w:w="100" w:type="dxa"/>
              <w:bottom w:w="100" w:type="dxa"/>
              <w:left w:w="140" w:type="dxa"/>
              <w:right w:w="140" w:type="dxa"/>
            </w:tcMar>
          </w:tcPr>
          <w:p>
            <w:pPr>
              <w:spacing w:before="0" w:after="0" w:line="264" w:lineRule="auto"/>
            </w:pPr>
            <w:r>
              <w:rPr>
                <w:rFonts w:ascii="Calibri" w:hAnsi="Calibri"/>
                <w:color w:val="1F2937"/>
                <w:sz w:val="18"/>
              </w:rPr>
              <w:t>29 h</w:t>
            </w:r>
          </w:p>
        </w:tc>
      </w:tr>
      <w:tr>
        <w:tc>
          <w:tcPr>
            <w:tcW w:type="dxa" w:w="4032"/>
            <w:shd w:fill="F9FAFB"/>
            <w:tcMar>
              <w:top w:w="100" w:type="dxa"/>
              <w:bottom w:w="100" w:type="dxa"/>
              <w:left w:w="140" w:type="dxa"/>
              <w:right w:w="140" w:type="dxa"/>
            </w:tcMar>
          </w:tcPr>
          <w:p>
            <w:pPr>
              <w:spacing w:before="0" w:after="0" w:line="264" w:lineRule="auto"/>
            </w:pPr>
            <w:r>
              <w:rPr>
                <w:rFonts w:ascii="Calibri" w:hAnsi="Calibri"/>
                <w:color w:val="1F2937"/>
                <w:sz w:val="18"/>
              </w:rPr>
              <w:t>Itinerario Personal para la Empleabilidad II (IPE II)</w:t>
            </w:r>
          </w:p>
        </w:tc>
        <w:tc>
          <w:tcPr>
            <w:tcW w:type="dxa" w:w="1728"/>
            <w:shd w:fill="F9FAFB"/>
            <w:tcMar>
              <w:top w:w="100" w:type="dxa"/>
              <w:bottom w:w="100" w:type="dxa"/>
              <w:left w:w="140" w:type="dxa"/>
              <w:right w:w="140" w:type="dxa"/>
            </w:tcMar>
          </w:tcPr>
          <w:p>
            <w:pPr>
              <w:spacing w:before="0" w:after="0" w:line="264" w:lineRule="auto"/>
            </w:pPr>
            <w:r>
              <w:rPr>
                <w:rFonts w:ascii="Calibri" w:hAnsi="Calibri"/>
                <w:color w:val="1F2937"/>
                <w:sz w:val="18"/>
              </w:rPr>
              <w:t>105 h</w:t>
            </w:r>
          </w:p>
        </w:tc>
        <w:tc>
          <w:tcPr>
            <w:tcW w:type="dxa" w:w="1872"/>
            <w:shd w:fill="F9FAFB"/>
            <w:tcMar>
              <w:top w:w="100" w:type="dxa"/>
              <w:bottom w:w="100" w:type="dxa"/>
              <w:left w:w="140" w:type="dxa"/>
              <w:right w:w="140" w:type="dxa"/>
            </w:tcMar>
          </w:tcPr>
          <w:p>
            <w:pPr>
              <w:spacing w:before="0" w:after="0" w:line="264" w:lineRule="auto"/>
            </w:pPr>
            <w:r>
              <w:rPr>
                <w:rFonts w:ascii="Calibri" w:hAnsi="Calibri"/>
                <w:color w:val="1F2937"/>
                <w:sz w:val="18"/>
              </w:rPr>
              <w:t>62 h</w:t>
            </w:r>
          </w:p>
        </w:tc>
        <w:tc>
          <w:tcPr>
            <w:tcW w:type="dxa" w:w="2016"/>
            <w:shd w:fill="F9FAFB"/>
            <w:tcMar>
              <w:top w:w="100" w:type="dxa"/>
              <w:bottom w:w="100" w:type="dxa"/>
              <w:left w:w="140" w:type="dxa"/>
              <w:right w:w="140" w:type="dxa"/>
            </w:tcMar>
          </w:tcPr>
          <w:p>
            <w:pPr>
              <w:spacing w:before="0" w:after="0" w:line="264" w:lineRule="auto"/>
            </w:pPr>
            <w:r>
              <w:rPr>
                <w:rFonts w:ascii="Calibri" w:hAnsi="Calibri"/>
                <w:color w:val="1F2937"/>
                <w:sz w:val="18"/>
              </w:rPr>
              <w:t>43 h</w:t>
            </w:r>
          </w:p>
        </w:tc>
      </w:tr>
      <w:tr>
        <w:tc>
          <w:tcPr>
            <w:tcW w:type="dxa" w:w="4032"/>
            <w:shd w:fill="FFFFFF"/>
            <w:tcMar>
              <w:top w:w="100" w:type="dxa"/>
              <w:bottom w:w="100" w:type="dxa"/>
              <w:left w:w="140" w:type="dxa"/>
              <w:right w:w="140" w:type="dxa"/>
            </w:tcMar>
          </w:tcPr>
          <w:p>
            <w:pPr>
              <w:spacing w:before="0" w:after="0" w:line="264" w:lineRule="auto"/>
            </w:pPr>
            <w:r>
              <w:rPr>
                <w:rFonts w:ascii="Calibri" w:hAnsi="Calibri"/>
                <w:color w:val="1F2937"/>
                <w:sz w:val="18"/>
              </w:rPr>
              <w:t>TOTAL HORAS 2º CURSO (+70h Proyecto)</w:t>
            </w:r>
          </w:p>
        </w:tc>
        <w:tc>
          <w:tcPr>
            <w:tcW w:type="dxa" w:w="1728"/>
            <w:shd w:fill="FFFFFF"/>
            <w:tcMar>
              <w:top w:w="100" w:type="dxa"/>
              <w:bottom w:w="100" w:type="dxa"/>
              <w:left w:w="140" w:type="dxa"/>
              <w:right w:w="140" w:type="dxa"/>
            </w:tcMar>
          </w:tcPr>
          <w:p>
            <w:pPr>
              <w:spacing w:before="0" w:after="0" w:line="264" w:lineRule="auto"/>
            </w:pPr>
            <w:r>
              <w:rPr>
                <w:rFonts w:ascii="Calibri" w:hAnsi="Calibri"/>
                <w:color w:val="1F2937"/>
                <w:sz w:val="18"/>
              </w:rPr>
              <w:t>1.050 h</w:t>
            </w:r>
          </w:p>
        </w:tc>
        <w:tc>
          <w:tcPr>
            <w:tcW w:type="dxa" w:w="1872"/>
            <w:shd w:fill="FFFFFF"/>
            <w:tcMar>
              <w:top w:w="100" w:type="dxa"/>
              <w:bottom w:w="100" w:type="dxa"/>
              <w:left w:w="140" w:type="dxa"/>
              <w:right w:w="140" w:type="dxa"/>
            </w:tcMar>
          </w:tcPr>
          <w:p>
            <w:pPr>
              <w:spacing w:before="0" w:after="0" w:line="264" w:lineRule="auto"/>
            </w:pPr>
            <w:r>
              <w:rPr>
                <w:rFonts w:ascii="Calibri" w:hAnsi="Calibri"/>
                <w:color w:val="1F2937"/>
                <w:sz w:val="18"/>
              </w:rPr>
              <w:t>579 h</w:t>
            </w:r>
          </w:p>
        </w:tc>
        <w:tc>
          <w:tcPr>
            <w:tcW w:type="dxa" w:w="2016"/>
            <w:shd w:fill="FFFFFF"/>
            <w:tcMar>
              <w:top w:w="100" w:type="dxa"/>
              <w:bottom w:w="100" w:type="dxa"/>
              <w:left w:w="140" w:type="dxa"/>
              <w:right w:w="140" w:type="dxa"/>
            </w:tcMar>
          </w:tcPr>
          <w:p>
            <w:pPr>
              <w:spacing w:before="0" w:after="0" w:line="264" w:lineRule="auto"/>
            </w:pPr>
            <w:r>
              <w:rPr>
                <w:rFonts w:ascii="Calibri" w:hAnsi="Calibri"/>
                <w:color w:val="1F2937"/>
                <w:sz w:val="18"/>
              </w:rPr>
              <w:t>400 h (50 jornadas)</w:t>
            </w:r>
          </w:p>
        </w:tc>
      </w:tr>
    </w:tbl>
    <w:p>
      <w:pPr>
        <w:spacing w:before="40" w:after="80"/>
      </w:pPr>
    </w:p>
    <w:p>
      <w:pPr>
        <w:keepNext/>
        <w:spacing w:before="240" w:after="80"/>
      </w:pPr>
      <w:r>
        <w:rPr>
          <w:rFonts w:ascii="Calibri" w:hAnsi="Calibri"/>
          <w:b/>
          <w:color w:val="0D9488"/>
          <w:sz w:val="24"/>
        </w:rPr>
        <w:t>9.1 Resultados de Aprendizaje y Criterios Desarrollados en Empresa</w:t>
      </w:r>
    </w:p>
    <w:p>
      <w:pPr>
        <w:spacing w:before="0" w:after="80" w:line="276" w:lineRule="auto"/>
      </w:pPr>
      <w:r>
        <w:rPr>
          <w:rFonts w:ascii="Calibri" w:hAnsi="Calibri"/>
          <w:color w:val="1F2937"/>
          <w:sz w:val="20"/>
        </w:rPr>
        <w:t>Durante la estancia dual en la empresa colaboradora (86 horas de DI), se desarrollarán y consolidarán especialmente:</w:t>
      </w:r>
    </w:p>
    <w:p>
      <w:pPr>
        <w:pStyle w:val="ListBullet"/>
        <w:spacing w:before="0" w:after="60" w:line="276" w:lineRule="auto"/>
      </w:pPr>
      <w:r>
        <w:rPr>
          <w:rFonts w:ascii="Calibri" w:hAnsi="Calibri"/>
          <w:b/>
          <w:color w:val="1F2937"/>
          <w:sz w:val="20"/>
        </w:rPr>
        <w:t xml:space="preserve">RA3 (Componentes visuales reutilizables): </w:t>
      </w:r>
      <w:r>
        <w:rPr>
          <w:rFonts w:ascii="Calibri" w:hAnsi="Calibri"/>
          <w:color w:val="1F2937"/>
          <w:sz w:val="20"/>
        </w:rPr>
        <w:t>a) Herramientas de componentes; b) Creación de componentes visuales; d) Eventos y acciones; e) Pruebas unitarias; f) Documentación técnica; h) Programación de interfaces en aplicaciones de producción.</w:t>
      </w:r>
    </w:p>
    <w:p>
      <w:pPr>
        <w:pStyle w:val="ListBullet"/>
        <w:spacing w:before="0" w:after="60" w:line="276" w:lineRule="auto"/>
      </w:pPr>
      <w:r>
        <w:rPr>
          <w:rFonts w:ascii="Calibri" w:hAnsi="Calibri"/>
          <w:b/>
          <w:color w:val="1F2937"/>
          <w:sz w:val="20"/>
        </w:rPr>
        <w:t xml:space="preserve">RA4 (Usabilidad y accesibilidad en producción): </w:t>
      </w:r>
      <w:r>
        <w:rPr>
          <w:rFonts w:ascii="Calibri" w:hAnsi="Calibri"/>
          <w:color w:val="1F2937"/>
          <w:sz w:val="20"/>
        </w:rPr>
        <w:t>c) Menús y navegación estándar; d) Barras de herramientas y acciones; e) Distribución de controles en la UI; f) Uso de controles apropiados; g) Diseño visual legible; h) Claridad de mensajes y feedback.</w:t>
      </w:r>
    </w:p>
    <w:p>
      <w:pPr>
        <w:pStyle w:val="ListBullet"/>
        <w:spacing w:before="0" w:after="60" w:line="276" w:lineRule="auto"/>
      </w:pPr>
      <w:r>
        <w:rPr>
          <w:rFonts w:ascii="Calibri" w:hAnsi="Calibri"/>
          <w:b/>
          <w:color w:val="1F2937"/>
          <w:sz w:val="20"/>
        </w:rPr>
        <w:t xml:space="preserve">RA5, RA7 y RA8 (Informes, empaquetado y testing): </w:t>
      </w:r>
      <w:r>
        <w:rPr>
          <w:rFonts w:ascii="Calibri" w:hAnsi="Calibri"/>
          <w:color w:val="1F2937"/>
          <w:sz w:val="20"/>
        </w:rPr>
        <w:t>Empaquetado de aplicaciones multiplataforma, generación de informes de gestión y ejecución de planes de pruebas reales.</w:t>
      </w:r>
    </w:p>
    <w:p>
      <w:pPr>
        <w:keepNext/>
        <w:spacing w:before="360" w:after="120"/>
      </w:pPr>
      <w:r>
        <w:rPr>
          <w:rFonts w:ascii="Calibri" w:hAnsi="Calibri"/>
          <w:b/>
          <w:color w:val="0F4C81"/>
          <w:sz w:val="29"/>
        </w:rPr>
        <w:t>10. ATENCIÓN A LA DIVERSIDAD Y DISEÑO UNIVERSAL PARA EL APRENDIZAJE (DUA)</w:t>
      </w:r>
    </w:p>
    <w:p>
      <w:pPr>
        <w:spacing w:before="0" w:after="80" w:line="276" w:lineRule="auto"/>
      </w:pPr>
      <w:r>
        <w:rPr>
          <w:rFonts w:ascii="Calibri" w:hAnsi="Calibri"/>
          <w:color w:val="1F2937"/>
          <w:sz w:val="20"/>
        </w:rPr>
        <w:t>Se aplican los principios del Diseño Universal para el Aprendizaje (DUA):</w:t>
      </w:r>
    </w:p>
    <w:p>
      <w:pPr>
        <w:pStyle w:val="ListBullet"/>
        <w:spacing w:before="0" w:after="60" w:line="276" w:lineRule="auto"/>
      </w:pPr>
      <w:r>
        <w:rPr>
          <w:rFonts w:ascii="Calibri" w:hAnsi="Calibri"/>
          <w:b/>
          <w:color w:val="1F2937"/>
          <w:sz w:val="20"/>
        </w:rPr>
        <w:t xml:space="preserve">Múltiples formas de representación: </w:t>
      </w:r>
      <w:r>
        <w:rPr>
          <w:rFonts w:ascii="Calibri" w:hAnsi="Calibri"/>
          <w:color w:val="1F2937"/>
          <w:sz w:val="20"/>
        </w:rPr>
        <w:t>Apuntes modulares completos (`docs/`), código fuente funcional en repositorios, grabaciones y diagramas de flujo interactivos.</w:t>
      </w:r>
    </w:p>
    <w:p>
      <w:pPr>
        <w:pStyle w:val="ListBullet"/>
        <w:spacing w:before="0" w:after="60" w:line="276" w:lineRule="auto"/>
      </w:pPr>
      <w:r>
        <w:rPr>
          <w:rFonts w:ascii="Calibri" w:hAnsi="Calibri"/>
          <w:b/>
          <w:color w:val="1F2937"/>
          <w:sz w:val="20"/>
        </w:rPr>
        <w:t xml:space="preserve">Múltiples formas de acción y expresión: </w:t>
      </w:r>
      <w:r>
        <w:rPr>
          <w:rFonts w:ascii="Calibri" w:hAnsi="Calibri"/>
          <w:color w:val="1F2937"/>
          <w:sz w:val="20"/>
        </w:rPr>
        <w:t>Posibilidad de desarrollar extensiones personalizadas en el proyecto GesFlow, elección de módulos y retos de ampliación multinivel.</w:t>
      </w:r>
    </w:p>
    <w:p>
      <w:pPr>
        <w:pStyle w:val="ListBullet"/>
        <w:spacing w:before="0" w:after="60" w:line="276" w:lineRule="auto"/>
      </w:pPr>
      <w:r>
        <w:rPr>
          <w:rFonts w:ascii="Calibri" w:hAnsi="Calibri"/>
          <w:b/>
          <w:color w:val="1F2937"/>
          <w:sz w:val="20"/>
        </w:rPr>
        <w:t xml:space="preserve">Múltiples formas de implicación: </w:t>
      </w:r>
      <w:r>
        <w:rPr>
          <w:rFonts w:ascii="Calibri" w:hAnsi="Calibri"/>
          <w:color w:val="1F2937"/>
          <w:sz w:val="20"/>
        </w:rPr>
        <w:t>Conexión con casos de uso empresariales reales y fomento del trabajo cooperativo.</w:t>
      </w:r>
    </w:p>
    <w:p>
      <w:pPr>
        <w:pStyle w:val="ListBullet"/>
        <w:spacing w:before="0" w:after="60" w:line="276" w:lineRule="auto"/>
      </w:pPr>
      <w:r>
        <w:rPr>
          <w:rFonts w:ascii="Calibri" w:hAnsi="Calibri"/>
          <w:b/>
          <w:color w:val="1F2937"/>
          <w:sz w:val="20"/>
        </w:rPr>
        <w:t xml:space="preserve">Medidas específicas: </w:t>
      </w:r>
      <w:r>
        <w:rPr>
          <w:rFonts w:ascii="Calibri" w:hAnsi="Calibri"/>
          <w:color w:val="1F2937"/>
          <w:sz w:val="20"/>
        </w:rPr>
        <w:t>Apoyo tutorial guiado para ritmos lentos, retos avanzados (NUI compleja con MediaPipe, Signals reactivos avanzados, micro-frontends en Electron) para alumnado aventajado y seguimiento telemático en plataforma virtual para alumnado con compatibilidad laboral.</w:t>
      </w:r>
    </w:p>
    <w:p>
      <w:pPr>
        <w:keepNext/>
        <w:spacing w:before="360" w:after="120"/>
      </w:pPr>
      <w:r>
        <w:rPr>
          <w:rFonts w:ascii="Calibri" w:hAnsi="Calibri"/>
          <w:b/>
          <w:color w:val="0F4C81"/>
          <w:sz w:val="29"/>
        </w:rPr>
        <w:t>11. ELEMENTOS TRANSVERSALES Y PROYECTO LINGÜÍSTICO DE CENTRO</w:t>
      </w:r>
    </w:p>
    <w:p>
      <w:pPr>
        <w:spacing w:before="0" w:after="80" w:line="276" w:lineRule="auto"/>
      </w:pPr>
      <w:r>
        <w:rPr>
          <w:rFonts w:ascii="Calibri" w:hAnsi="Calibri"/>
          <w:color w:val="1F2937"/>
          <w:sz w:val="20"/>
        </w:rPr>
        <w:t>En cumplimiento de los artículos 39 y 40 de la Ley 17/2007 (LEA) y del Real Decreto 659/2023:</w:t>
      </w:r>
    </w:p>
    <w:p>
      <w:pPr>
        <w:pStyle w:val="ListBullet"/>
        <w:spacing w:before="0" w:after="60" w:line="276" w:lineRule="auto"/>
      </w:pPr>
      <w:r>
        <w:rPr>
          <w:rFonts w:ascii="Calibri" w:hAnsi="Calibri"/>
          <w:b/>
          <w:color w:val="1F2937"/>
          <w:sz w:val="20"/>
        </w:rPr>
        <w:t xml:space="preserve">Inclusión y Accesibilidad Universal: </w:t>
      </w:r>
      <w:r>
        <w:rPr>
          <w:rFonts w:ascii="Calibri" w:hAnsi="Calibri"/>
          <w:color w:val="1F2937"/>
          <w:sz w:val="20"/>
        </w:rPr>
        <w:t>El módulo sitúa la Accesibilidad Universal y el Diseño para Todos como pilar ético y legal indispensable del desarrollo de software.</w:t>
      </w:r>
    </w:p>
    <w:p>
      <w:pPr>
        <w:pStyle w:val="ListBullet"/>
        <w:spacing w:before="0" w:after="60" w:line="276" w:lineRule="auto"/>
      </w:pPr>
      <w:r>
        <w:rPr>
          <w:rFonts w:ascii="Calibri" w:hAnsi="Calibri"/>
          <w:b/>
          <w:color w:val="1F2937"/>
          <w:sz w:val="20"/>
        </w:rPr>
        <w:t xml:space="preserve">Igualdad de Género: </w:t>
      </w:r>
      <w:r>
        <w:rPr>
          <w:rFonts w:ascii="Calibri" w:hAnsi="Calibri"/>
          <w:color w:val="1F2937"/>
          <w:sz w:val="20"/>
        </w:rPr>
        <w:t>Visibilización de referentes femeninos en ingeniería de software y diseño de interacción.</w:t>
      </w:r>
    </w:p>
    <w:p>
      <w:pPr>
        <w:pStyle w:val="ListBullet"/>
        <w:spacing w:before="0" w:after="60" w:line="276" w:lineRule="auto"/>
      </w:pPr>
      <w:r>
        <w:rPr>
          <w:rFonts w:ascii="Calibri" w:hAnsi="Calibri"/>
          <w:b/>
          <w:color w:val="1F2937"/>
          <w:sz w:val="20"/>
        </w:rPr>
        <w:t xml:space="preserve">Propiedad Intelectual y Privacidad: </w:t>
      </w:r>
      <w:r>
        <w:rPr>
          <w:rFonts w:ascii="Calibri" w:hAnsi="Calibri"/>
          <w:color w:val="1F2937"/>
          <w:sz w:val="20"/>
        </w:rPr>
        <w:t>Respeto riguroso a la propiedad intelectual (TRLPI), licencias de código abierto y privacidad de datos (RGPD/LOPDGDD).</w:t>
      </w:r>
    </w:p>
    <w:p>
      <w:pPr>
        <w:pStyle w:val="ListBullet"/>
        <w:spacing w:before="0" w:after="60" w:line="276" w:lineRule="auto"/>
      </w:pPr>
      <w:r>
        <w:rPr>
          <w:rFonts w:ascii="Calibri" w:hAnsi="Calibri"/>
          <w:b/>
          <w:color w:val="1F2937"/>
          <w:sz w:val="20"/>
        </w:rPr>
        <w:t xml:space="preserve">Sostenibilidad y Green Software: </w:t>
      </w:r>
      <w:r>
        <w:rPr>
          <w:rFonts w:ascii="Calibri" w:hAnsi="Calibri"/>
          <w:color w:val="1F2937"/>
          <w:sz w:val="20"/>
        </w:rPr>
        <w:t>Optimización de memoria y CPU en aplicaciones Electron y Angular para minimizar el consumo energético.</w:t>
      </w:r>
    </w:p>
    <w:p>
      <w:pPr>
        <w:pStyle w:val="ListBullet"/>
        <w:spacing w:before="0" w:after="60" w:line="276" w:lineRule="auto"/>
      </w:pPr>
      <w:r>
        <w:rPr>
          <w:rFonts w:ascii="Calibri" w:hAnsi="Calibri"/>
          <w:b/>
          <w:color w:val="1F2937"/>
          <w:sz w:val="20"/>
        </w:rPr>
        <w:t xml:space="preserve">Proyecto Lingüístico de Centro (PLC): </w:t>
      </w:r>
      <w:r>
        <w:rPr>
          <w:rFonts w:ascii="Calibri" w:hAnsi="Calibri"/>
          <w:color w:val="1F2937"/>
          <w:sz w:val="20"/>
        </w:rPr>
        <w:t>Lectura y análisis de documentación técnica oficial en inglés (Angular.dev, Electronjs.org, MDN). Corrección ortográfica y sintáctica en informes y memorias (descuento de 0,2 por falta hasta un máximo de 2 puntos).</w:t>
      </w:r>
    </w:p>
    <w:p>
      <w:pPr>
        <w:keepNext/>
        <w:spacing w:before="360" w:after="120"/>
      </w:pPr>
      <w:r>
        <w:rPr>
          <w:rFonts w:ascii="Calibri" w:hAnsi="Calibri"/>
          <w:b/>
          <w:color w:val="0F4C81"/>
          <w:sz w:val="29"/>
        </w:rPr>
        <w:t>12. ACTIVIDADES COMPLEMENTARIAS Y EXTRAESCOLARES</w:t>
      </w:r>
    </w:p>
    <w:p>
      <w:pPr>
        <w:pStyle w:val="ListBullet"/>
        <w:spacing w:before="0" w:after="60" w:line="276" w:lineRule="auto"/>
      </w:pPr>
      <w:r>
        <w:rPr>
          <w:rFonts w:ascii="Calibri" w:hAnsi="Calibri"/>
          <w:b/>
          <w:color w:val="1F2937"/>
          <w:sz w:val="20"/>
        </w:rPr>
        <w:t xml:space="preserve">Visitas a Empresas Tecnológicas: </w:t>
      </w:r>
      <w:r>
        <w:rPr>
          <w:rFonts w:ascii="Calibri" w:hAnsi="Calibri"/>
          <w:color w:val="1F2937"/>
          <w:sz w:val="20"/>
        </w:rPr>
        <w:t>Visitas a empresas de desarrollo de software multiplataforma y centros tecnológicos andaluces (Geolit, PTA, Cartuja).</w:t>
      </w:r>
    </w:p>
    <w:p>
      <w:pPr>
        <w:pStyle w:val="ListBullet"/>
        <w:spacing w:before="0" w:after="60" w:line="276" w:lineRule="auto"/>
      </w:pPr>
      <w:r>
        <w:rPr>
          <w:rFonts w:ascii="Calibri" w:hAnsi="Calibri"/>
          <w:b/>
          <w:color w:val="1F2937"/>
          <w:sz w:val="20"/>
        </w:rPr>
        <w:t xml:space="preserve">Jornadas Técnicas y Encuentros: </w:t>
      </w:r>
      <w:r>
        <w:rPr>
          <w:rFonts w:ascii="Calibri" w:hAnsi="Calibri"/>
          <w:color w:val="1F2937"/>
          <w:sz w:val="20"/>
        </w:rPr>
        <w:t>Participación en hackathons, eventos de desarrollo frontend/desktop y webinars técnicos.</w:t>
      </w:r>
    </w:p>
    <w:p>
      <w:pPr>
        <w:pStyle w:val="ListBullet"/>
        <w:spacing w:before="0" w:after="60" w:line="276" w:lineRule="auto"/>
      </w:pPr>
      <w:r>
        <w:rPr>
          <w:rFonts w:ascii="Calibri" w:hAnsi="Calibri"/>
          <w:b/>
          <w:color w:val="1F2937"/>
          <w:sz w:val="20"/>
        </w:rPr>
        <w:t xml:space="preserve">Mesa Redonda con Egresados: </w:t>
      </w:r>
      <w:r>
        <w:rPr>
          <w:rFonts w:ascii="Calibri" w:hAnsi="Calibri"/>
          <w:color w:val="1F2937"/>
          <w:sz w:val="20"/>
        </w:rPr>
        <w:t>Encuentros con antiguos alumnos/as de DAM dedicados profesionalmente al desarrollo de software multiplataforma.</w:t>
      </w:r>
    </w:p>
    <w:p>
      <w:pPr>
        <w:keepNext/>
        <w:spacing w:before="360" w:after="120"/>
      </w:pPr>
      <w:r>
        <w:rPr>
          <w:rFonts w:ascii="Calibri" w:hAnsi="Calibri"/>
          <w:b/>
          <w:color w:val="0F4C81"/>
          <w:sz w:val="29"/>
        </w:rPr>
        <w:t>13. RECURSOS DIDÁCTICOS, BIBLIOGRAFÍA Y MATERIALES DEL MÓDULO</w:t>
      </w:r>
    </w:p>
    <w:p>
      <w:pPr>
        <w:spacing w:before="0" w:after="80" w:line="276" w:lineRule="auto"/>
      </w:pPr>
      <w:r>
        <w:rPr>
          <w:rFonts w:ascii="Calibri" w:hAnsi="Calibri"/>
          <w:color w:val="1F2937"/>
          <w:sz w:val="20"/>
        </w:rPr>
        <w:t>El módulo cuenta con un conjunto integral de 23 documentos de apuntes y proyectos estructurados en docs/:</w:t>
      </w:r>
    </w:p>
    <w:tbl>
      <w:tblPr>
        <w:tblW w:type="auto" w:w="0"/>
        <w:jc w:val="center"/>
        <w:tblLayout w:type="fixed"/>
        <w:tblLook w:firstColumn="1" w:firstRow="1" w:lastColumn="0" w:lastRow="0" w:noHBand="0" w:noVBand="1" w:val="04A0"/>
        <w:tblBorders>
          <w:top w:val="single" w:sz="4" w:space="0" w:color="D1D5DB"/>
          <w:bottom w:val="single" w:sz="4" w:space="0" w:color="D1D5DB"/>
          <w:left w:val="none"/>
          <w:right w:val="none"/>
          <w:insideH w:val="single" w:sz="4" w:space="0" w:color="D1D5DB"/>
          <w:insideV w:val="none"/>
        </w:tblBorders>
      </w:tblPr>
      <w:tblGrid>
        <w:gridCol w:w="3216"/>
        <w:gridCol w:w="3216"/>
        <w:gridCol w:w="3216"/>
      </w:tblGrid>
      <w:tr>
        <w:tc>
          <w:tcPr>
            <w:tcW w:type="dxa" w:w="1584"/>
            <w:shd w:fill="0F4C81"/>
            <w:tcMar>
              <w:top w:w="120" w:type="dxa"/>
              <w:bottom w:w="120" w:type="dxa"/>
              <w:left w:w="140" w:type="dxa"/>
              <w:right w:w="140" w:type="dxa"/>
            </w:tcMar>
          </w:tcPr>
          <w:p>
            <w:pPr>
              <w:spacing w:before="0" w:after="0"/>
            </w:pPr>
            <w:r>
              <w:rPr>
                <w:rFonts w:ascii="Calibri" w:hAnsi="Calibri"/>
                <w:b/>
                <w:color w:val="FFFFFF"/>
                <w:sz w:val="19"/>
              </w:rPr>
              <w:t>Unidad</w:t>
            </w:r>
          </w:p>
        </w:tc>
        <w:tc>
          <w:tcPr>
            <w:tcW w:type="dxa" w:w="3456"/>
            <w:shd w:fill="0F4C81"/>
            <w:tcMar>
              <w:top w:w="120" w:type="dxa"/>
              <w:bottom w:w="120" w:type="dxa"/>
              <w:left w:w="140" w:type="dxa"/>
              <w:right w:w="140" w:type="dxa"/>
            </w:tcMar>
          </w:tcPr>
          <w:p>
            <w:pPr>
              <w:spacing w:before="0" w:after="0"/>
            </w:pPr>
            <w:r>
              <w:rPr>
                <w:rFonts w:ascii="Calibri" w:hAnsi="Calibri"/>
                <w:b/>
                <w:color w:val="FFFFFF"/>
                <w:sz w:val="19"/>
              </w:rPr>
              <w:t>Título del Recurso en docs/</w:t>
            </w:r>
          </w:p>
        </w:tc>
        <w:tc>
          <w:tcPr>
            <w:tcW w:type="dxa" w:w="4608"/>
            <w:shd w:fill="0F4C81"/>
            <w:tcMar>
              <w:top w:w="120" w:type="dxa"/>
              <w:bottom w:w="120" w:type="dxa"/>
              <w:left w:w="140" w:type="dxa"/>
              <w:right w:w="140" w:type="dxa"/>
            </w:tcMar>
          </w:tcPr>
          <w:p>
            <w:pPr>
              <w:spacing w:before="0" w:after="0"/>
            </w:pPr>
            <w:r>
              <w:rPr>
                <w:rFonts w:ascii="Calibri" w:hAnsi="Calibri"/>
                <w:b/>
                <w:color w:val="FFFFFF"/>
                <w:sz w:val="19"/>
              </w:rPr>
              <w:t>Contenido y Enfoque Profesional</w:t>
            </w:r>
          </w:p>
        </w:tc>
      </w:tr>
      <w:tr>
        <w:tc>
          <w:tcPr>
            <w:tcW w:type="dxa" w:w="1584"/>
            <w:shd w:fill="FFFFFF"/>
            <w:tcMar>
              <w:top w:w="100" w:type="dxa"/>
              <w:bottom w:w="100" w:type="dxa"/>
              <w:left w:w="140" w:type="dxa"/>
              <w:right w:w="140" w:type="dxa"/>
            </w:tcMar>
          </w:tcPr>
          <w:p>
            <w:pPr>
              <w:spacing w:before="0" w:after="0" w:line="264" w:lineRule="auto"/>
            </w:pPr>
            <w:r>
              <w:rPr>
                <w:rFonts w:ascii="Calibri" w:hAnsi="Calibri"/>
                <w:color w:val="1F2937"/>
                <w:sz w:val="18"/>
              </w:rPr>
              <w:t>00 (index.md)</w:t>
            </w:r>
          </w:p>
        </w:tc>
        <w:tc>
          <w:tcPr>
            <w:tcW w:type="dxa" w:w="3456"/>
            <w:shd w:fill="FFFFFF"/>
            <w:tcMar>
              <w:top w:w="100" w:type="dxa"/>
              <w:bottom w:w="100" w:type="dxa"/>
              <w:left w:w="140" w:type="dxa"/>
              <w:right w:w="140" w:type="dxa"/>
            </w:tcMar>
          </w:tcPr>
          <w:p>
            <w:pPr>
              <w:spacing w:before="0" w:after="0" w:line="264" w:lineRule="auto"/>
            </w:pPr>
            <w:r>
              <w:rPr>
                <w:rFonts w:ascii="Calibri" w:hAnsi="Calibri"/>
                <w:color w:val="1F2937"/>
                <w:sz w:val="18"/>
              </w:rPr>
              <w:t>00. Introducción al Desarrollo de Interfaces</w:t>
            </w:r>
          </w:p>
        </w:tc>
        <w:tc>
          <w:tcPr>
            <w:tcW w:type="dxa" w:w="4608"/>
            <w:shd w:fill="FFFFFF"/>
            <w:tcMar>
              <w:top w:w="100" w:type="dxa"/>
              <w:bottom w:w="100" w:type="dxa"/>
              <w:left w:w="140" w:type="dxa"/>
              <w:right w:w="140" w:type="dxa"/>
            </w:tcMar>
          </w:tcPr>
          <w:p>
            <w:pPr>
              <w:spacing w:before="0" w:after="0" w:line="264" w:lineRule="auto"/>
            </w:pPr>
            <w:r>
              <w:rPr>
                <w:rFonts w:ascii="Calibri" w:hAnsi="Calibri"/>
                <w:color w:val="1F2937"/>
                <w:sz w:val="18"/>
              </w:rPr>
              <w:t>Tipologías (GUI, CLI, VUI, NUI), evolución, UX vs UI, multiplataforma y UCD.</w:t>
            </w:r>
          </w:p>
        </w:tc>
      </w:tr>
      <w:tr>
        <w:tc>
          <w:tcPr>
            <w:tcW w:type="dxa" w:w="1584"/>
            <w:shd w:fill="F9FAFB"/>
            <w:tcMar>
              <w:top w:w="100" w:type="dxa"/>
              <w:bottom w:w="100" w:type="dxa"/>
              <w:left w:w="140" w:type="dxa"/>
              <w:right w:w="140" w:type="dxa"/>
            </w:tcMar>
          </w:tcPr>
          <w:p>
            <w:pPr>
              <w:spacing w:before="0" w:after="0" w:line="264" w:lineRule="auto"/>
            </w:pPr>
            <w:r>
              <w:rPr>
                <w:rFonts w:ascii="Calibri" w:hAnsi="Calibri"/>
                <w:color w:val="1F2937"/>
                <w:sz w:val="18"/>
              </w:rPr>
              <w:t>01</w:t>
            </w:r>
          </w:p>
        </w:tc>
        <w:tc>
          <w:tcPr>
            <w:tcW w:type="dxa" w:w="3456"/>
            <w:shd w:fill="F9FAFB"/>
            <w:tcMar>
              <w:top w:w="100" w:type="dxa"/>
              <w:bottom w:w="100" w:type="dxa"/>
              <w:left w:w="140" w:type="dxa"/>
              <w:right w:w="140" w:type="dxa"/>
            </w:tcMar>
          </w:tcPr>
          <w:p>
            <w:pPr>
              <w:spacing w:before="0" w:after="0" w:line="264" w:lineRule="auto"/>
            </w:pPr>
            <w:r>
              <w:rPr>
                <w:rFonts w:ascii="Calibri" w:hAnsi="Calibri"/>
                <w:color w:val="1F2937"/>
                <w:sz w:val="18"/>
              </w:rPr>
              <w:t>01-ux.md</w:t>
            </w:r>
          </w:p>
        </w:tc>
        <w:tc>
          <w:tcPr>
            <w:tcW w:type="dxa" w:w="4608"/>
            <w:shd w:fill="F9FAFB"/>
            <w:tcMar>
              <w:top w:w="100" w:type="dxa"/>
              <w:bottom w:w="100" w:type="dxa"/>
              <w:left w:w="140" w:type="dxa"/>
              <w:right w:w="140" w:type="dxa"/>
            </w:tcMar>
          </w:tcPr>
          <w:p>
            <w:pPr>
              <w:spacing w:before="0" w:after="0" w:line="264" w:lineRule="auto"/>
            </w:pPr>
            <w:r>
              <w:rPr>
                <w:rFonts w:ascii="Calibri" w:hAnsi="Calibri"/>
                <w:color w:val="1F2937"/>
                <w:sz w:val="18"/>
              </w:rPr>
              <w:t>Principios de UX, heurísticas de Nielsen, flujos de usuario, arquitectura de información y UX writing.</w:t>
            </w:r>
          </w:p>
        </w:tc>
      </w:tr>
      <w:tr>
        <w:tc>
          <w:tcPr>
            <w:tcW w:type="dxa" w:w="1584"/>
            <w:shd w:fill="FFFFFF"/>
            <w:tcMar>
              <w:top w:w="100" w:type="dxa"/>
              <w:bottom w:w="100" w:type="dxa"/>
              <w:left w:w="140" w:type="dxa"/>
              <w:right w:w="140" w:type="dxa"/>
            </w:tcMar>
          </w:tcPr>
          <w:p>
            <w:pPr>
              <w:spacing w:before="0" w:after="0" w:line="264" w:lineRule="auto"/>
            </w:pPr>
            <w:r>
              <w:rPr>
                <w:rFonts w:ascii="Calibri" w:hAnsi="Calibri"/>
                <w:color w:val="1F2937"/>
                <w:sz w:val="18"/>
              </w:rPr>
              <w:t>02</w:t>
            </w:r>
          </w:p>
        </w:tc>
        <w:tc>
          <w:tcPr>
            <w:tcW w:type="dxa" w:w="3456"/>
            <w:shd w:fill="FFFFFF"/>
            <w:tcMar>
              <w:top w:w="100" w:type="dxa"/>
              <w:bottom w:w="100" w:type="dxa"/>
              <w:left w:w="140" w:type="dxa"/>
              <w:right w:w="140" w:type="dxa"/>
            </w:tcMar>
          </w:tcPr>
          <w:p>
            <w:pPr>
              <w:spacing w:before="0" w:after="0" w:line="264" w:lineRule="auto"/>
            </w:pPr>
            <w:r>
              <w:rPr>
                <w:rFonts w:ascii="Calibri" w:hAnsi="Calibri"/>
                <w:color w:val="1F2937"/>
                <w:sz w:val="18"/>
              </w:rPr>
              <w:t>02-accesibilidad.md</w:t>
            </w:r>
          </w:p>
        </w:tc>
        <w:tc>
          <w:tcPr>
            <w:tcW w:type="dxa" w:w="4608"/>
            <w:shd w:fill="FFFFFF"/>
            <w:tcMar>
              <w:top w:w="100" w:type="dxa"/>
              <w:bottom w:w="100" w:type="dxa"/>
              <w:left w:w="140" w:type="dxa"/>
              <w:right w:w="140" w:type="dxa"/>
            </w:tcMar>
          </w:tcPr>
          <w:p>
            <w:pPr>
              <w:spacing w:before="0" w:after="0" w:line="264" w:lineRule="auto"/>
            </w:pPr>
            <w:r>
              <w:rPr>
                <w:rFonts w:ascii="Calibri" w:hAnsi="Calibri"/>
                <w:color w:val="1F2937"/>
                <w:sz w:val="18"/>
              </w:rPr>
              <w:t>Accesibilidad web WCAG 2.2 (A/AA/AAA), principios POUR, WAI-ARIA y herramientas de auditoría.</w:t>
            </w:r>
          </w:p>
        </w:tc>
      </w:tr>
      <w:tr>
        <w:tc>
          <w:tcPr>
            <w:tcW w:type="dxa" w:w="1584"/>
            <w:shd w:fill="F9FAFB"/>
            <w:tcMar>
              <w:top w:w="100" w:type="dxa"/>
              <w:bottom w:w="100" w:type="dxa"/>
              <w:left w:w="140" w:type="dxa"/>
              <w:right w:w="140" w:type="dxa"/>
            </w:tcMar>
          </w:tcPr>
          <w:p>
            <w:pPr>
              <w:spacing w:before="0" w:after="0" w:line="264" w:lineRule="auto"/>
            </w:pPr>
            <w:r>
              <w:rPr>
                <w:rFonts w:ascii="Calibri" w:hAnsi="Calibri"/>
                <w:color w:val="1F2937"/>
                <w:sz w:val="18"/>
              </w:rPr>
              <w:t>03</w:t>
            </w:r>
          </w:p>
        </w:tc>
        <w:tc>
          <w:tcPr>
            <w:tcW w:type="dxa" w:w="3456"/>
            <w:shd w:fill="F9FAFB"/>
            <w:tcMar>
              <w:top w:w="100" w:type="dxa"/>
              <w:bottom w:w="100" w:type="dxa"/>
              <w:left w:w="140" w:type="dxa"/>
              <w:right w:w="140" w:type="dxa"/>
            </w:tcMar>
          </w:tcPr>
          <w:p>
            <w:pPr>
              <w:spacing w:before="0" w:after="0" w:line="264" w:lineRule="auto"/>
            </w:pPr>
            <w:r>
              <w:rPr>
                <w:rFonts w:ascii="Calibri" w:hAnsi="Calibri"/>
                <w:color w:val="1F2937"/>
                <w:sz w:val="18"/>
              </w:rPr>
              <w:t>03-interfaces-naturales.md</w:t>
            </w:r>
          </w:p>
        </w:tc>
        <w:tc>
          <w:tcPr>
            <w:tcW w:type="dxa" w:w="4608"/>
            <w:shd w:fill="F9FAFB"/>
            <w:tcMar>
              <w:top w:w="100" w:type="dxa"/>
              <w:bottom w:w="100" w:type="dxa"/>
              <w:left w:w="140" w:type="dxa"/>
              <w:right w:w="140" w:type="dxa"/>
            </w:tcMar>
          </w:tcPr>
          <w:p>
            <w:pPr>
              <w:spacing w:before="0" w:after="0" w:line="264" w:lineRule="auto"/>
            </w:pPr>
            <w:r>
              <w:rPr>
                <w:rFonts w:ascii="Calibri" w:hAnsi="Calibri"/>
                <w:color w:val="1F2937"/>
                <w:sz w:val="18"/>
              </w:rPr>
              <w:t>Interfaces Naturales (NUI): Web Speech API (voz), MediaPipe (gestos/cuerpo) y WebXR (Realidad Aumentada).</w:t>
            </w:r>
          </w:p>
        </w:tc>
      </w:tr>
      <w:tr>
        <w:tc>
          <w:tcPr>
            <w:tcW w:type="dxa" w:w="1584"/>
            <w:shd w:fill="FFFFFF"/>
            <w:tcMar>
              <w:top w:w="100" w:type="dxa"/>
              <w:bottom w:w="100" w:type="dxa"/>
              <w:left w:w="140" w:type="dxa"/>
              <w:right w:w="140" w:type="dxa"/>
            </w:tcMar>
          </w:tcPr>
          <w:p>
            <w:pPr>
              <w:spacing w:before="0" w:after="0" w:line="264" w:lineRule="auto"/>
            </w:pPr>
            <w:r>
              <w:rPr>
                <w:rFonts w:ascii="Calibri" w:hAnsi="Calibri"/>
                <w:color w:val="1F2937"/>
                <w:sz w:val="18"/>
              </w:rPr>
              <w:t>04</w:t>
            </w:r>
          </w:p>
        </w:tc>
        <w:tc>
          <w:tcPr>
            <w:tcW w:type="dxa" w:w="3456"/>
            <w:shd w:fill="FFFFFF"/>
            <w:tcMar>
              <w:top w:w="100" w:type="dxa"/>
              <w:bottom w:w="100" w:type="dxa"/>
              <w:left w:w="140" w:type="dxa"/>
              <w:right w:w="140" w:type="dxa"/>
            </w:tcMar>
          </w:tcPr>
          <w:p>
            <w:pPr>
              <w:spacing w:before="0" w:after="0" w:line="264" w:lineRule="auto"/>
            </w:pPr>
            <w:r>
              <w:rPr>
                <w:rFonts w:ascii="Calibri" w:hAnsi="Calibri"/>
                <w:color w:val="1F2937"/>
                <w:sz w:val="18"/>
              </w:rPr>
              <w:t>04-figma.md</w:t>
            </w:r>
          </w:p>
        </w:tc>
        <w:tc>
          <w:tcPr>
            <w:tcW w:type="dxa" w:w="4608"/>
            <w:shd w:fill="FFFFFF"/>
            <w:tcMar>
              <w:top w:w="100" w:type="dxa"/>
              <w:bottom w:w="100" w:type="dxa"/>
              <w:left w:w="140" w:type="dxa"/>
              <w:right w:w="140" w:type="dxa"/>
            </w:tcMar>
          </w:tcPr>
          <w:p>
            <w:pPr>
              <w:spacing w:before="0" w:after="0" w:line="264" w:lineRule="auto"/>
            </w:pPr>
            <w:r>
              <w:rPr>
                <w:rFonts w:ascii="Calibri" w:hAnsi="Calibri"/>
                <w:color w:val="1F2937"/>
                <w:sz w:val="18"/>
              </w:rPr>
              <w:t>Figma avanzado: Auto Layout, variables, componentes, variantes, tokens y Dev Mode.</w:t>
            </w:r>
          </w:p>
        </w:tc>
      </w:tr>
      <w:tr>
        <w:tc>
          <w:tcPr>
            <w:tcW w:type="dxa" w:w="1584"/>
            <w:shd w:fill="F9FAFB"/>
            <w:tcMar>
              <w:top w:w="100" w:type="dxa"/>
              <w:bottom w:w="100" w:type="dxa"/>
              <w:left w:w="140" w:type="dxa"/>
              <w:right w:w="140" w:type="dxa"/>
            </w:tcMar>
          </w:tcPr>
          <w:p>
            <w:pPr>
              <w:spacing w:before="0" w:after="0" w:line="264" w:lineRule="auto"/>
            </w:pPr>
            <w:r>
              <w:rPr>
                <w:rFonts w:ascii="Calibri" w:hAnsi="Calibri"/>
                <w:color w:val="1F2937"/>
                <w:sz w:val="18"/>
              </w:rPr>
              <w:t>05</w:t>
            </w:r>
          </w:p>
        </w:tc>
        <w:tc>
          <w:tcPr>
            <w:tcW w:type="dxa" w:w="3456"/>
            <w:shd w:fill="F9FAFB"/>
            <w:tcMar>
              <w:top w:w="100" w:type="dxa"/>
              <w:bottom w:w="100" w:type="dxa"/>
              <w:left w:w="140" w:type="dxa"/>
              <w:right w:w="140" w:type="dxa"/>
            </w:tcMar>
          </w:tcPr>
          <w:p>
            <w:pPr>
              <w:spacing w:before="0" w:after="0" w:line="264" w:lineRule="auto"/>
            </w:pPr>
            <w:r>
              <w:rPr>
                <w:rFonts w:ascii="Calibri" w:hAnsi="Calibri"/>
                <w:color w:val="1F2937"/>
                <w:sz w:val="18"/>
              </w:rPr>
              <w:t>05-layouts-modernos.md</w:t>
            </w:r>
          </w:p>
        </w:tc>
        <w:tc>
          <w:tcPr>
            <w:tcW w:type="dxa" w:w="4608"/>
            <w:shd w:fill="F9FAFB"/>
            <w:tcMar>
              <w:top w:w="100" w:type="dxa"/>
              <w:bottom w:w="100" w:type="dxa"/>
              <w:left w:w="140" w:type="dxa"/>
              <w:right w:w="140" w:type="dxa"/>
            </w:tcMar>
          </w:tcPr>
          <w:p>
            <w:pPr>
              <w:spacing w:before="0" w:after="0" w:line="264" w:lineRule="auto"/>
            </w:pPr>
            <w:r>
              <w:rPr>
                <w:rFonts w:ascii="Calibri" w:hAnsi="Calibri"/>
                <w:color w:val="1F2937"/>
                <w:sz w:val="18"/>
              </w:rPr>
              <w:t>Layouts con Flexbox y CSS Grid, equivalencias con escritorio clásico y container queries.</w:t>
            </w:r>
          </w:p>
        </w:tc>
      </w:tr>
      <w:tr>
        <w:tc>
          <w:tcPr>
            <w:tcW w:type="dxa" w:w="1584"/>
            <w:shd w:fill="FFFFFF"/>
            <w:tcMar>
              <w:top w:w="100" w:type="dxa"/>
              <w:bottom w:w="100" w:type="dxa"/>
              <w:left w:w="140" w:type="dxa"/>
              <w:right w:w="140" w:type="dxa"/>
            </w:tcMar>
          </w:tcPr>
          <w:p>
            <w:pPr>
              <w:spacing w:before="0" w:after="0" w:line="264" w:lineRule="auto"/>
            </w:pPr>
            <w:r>
              <w:rPr>
                <w:rFonts w:ascii="Calibri" w:hAnsi="Calibri"/>
                <w:color w:val="1F2937"/>
                <w:sz w:val="18"/>
              </w:rPr>
              <w:t>06</w:t>
            </w:r>
          </w:p>
        </w:tc>
        <w:tc>
          <w:tcPr>
            <w:tcW w:type="dxa" w:w="3456"/>
            <w:shd w:fill="FFFFFF"/>
            <w:tcMar>
              <w:top w:w="100" w:type="dxa"/>
              <w:bottom w:w="100" w:type="dxa"/>
              <w:left w:w="140" w:type="dxa"/>
              <w:right w:w="140" w:type="dxa"/>
            </w:tcMar>
          </w:tcPr>
          <w:p>
            <w:pPr>
              <w:spacing w:before="0" w:after="0" w:line="264" w:lineRule="auto"/>
            </w:pPr>
            <w:r>
              <w:rPr>
                <w:rFonts w:ascii="Calibri" w:hAnsi="Calibri"/>
                <w:color w:val="1F2937"/>
                <w:sz w:val="18"/>
              </w:rPr>
              <w:t>06-tailwindcss4.md</w:t>
            </w:r>
          </w:p>
        </w:tc>
        <w:tc>
          <w:tcPr>
            <w:tcW w:type="dxa" w:w="4608"/>
            <w:shd w:fill="FFFFFF"/>
            <w:tcMar>
              <w:top w:w="100" w:type="dxa"/>
              <w:bottom w:w="100" w:type="dxa"/>
              <w:left w:w="140" w:type="dxa"/>
              <w:right w:w="140" w:type="dxa"/>
            </w:tcMar>
          </w:tcPr>
          <w:p>
            <w:pPr>
              <w:spacing w:before="0" w:after="0" w:line="264" w:lineRule="auto"/>
            </w:pPr>
            <w:r>
              <w:rPr>
                <w:rFonts w:ascii="Calibri" w:hAnsi="Calibri"/>
                <w:color w:val="1F2937"/>
                <w:sz w:val="18"/>
              </w:rPr>
              <w:t>Tailwind CSS 4: Enfoque utility-first, configuración en Vite/Angular con @theme y dark mode.</w:t>
            </w:r>
          </w:p>
        </w:tc>
      </w:tr>
      <w:tr>
        <w:tc>
          <w:tcPr>
            <w:tcW w:type="dxa" w:w="1584"/>
            <w:shd w:fill="F9FAFB"/>
            <w:tcMar>
              <w:top w:w="100" w:type="dxa"/>
              <w:bottom w:w="100" w:type="dxa"/>
              <w:left w:w="140" w:type="dxa"/>
              <w:right w:w="140" w:type="dxa"/>
            </w:tcMar>
          </w:tcPr>
          <w:p>
            <w:pPr>
              <w:spacing w:before="0" w:after="0" w:line="264" w:lineRule="auto"/>
            </w:pPr>
            <w:r>
              <w:rPr>
                <w:rFonts w:ascii="Calibri" w:hAnsi="Calibri"/>
                <w:color w:val="1F2937"/>
                <w:sz w:val="18"/>
              </w:rPr>
              <w:t>07</w:t>
            </w:r>
          </w:p>
        </w:tc>
        <w:tc>
          <w:tcPr>
            <w:tcW w:type="dxa" w:w="3456"/>
            <w:shd w:fill="F9FAFB"/>
            <w:tcMar>
              <w:top w:w="100" w:type="dxa"/>
              <w:bottom w:w="100" w:type="dxa"/>
              <w:left w:w="140" w:type="dxa"/>
              <w:right w:w="140" w:type="dxa"/>
            </w:tcMar>
          </w:tcPr>
          <w:p>
            <w:pPr>
              <w:spacing w:before="0" w:after="0" w:line="264" w:lineRule="auto"/>
            </w:pPr>
            <w:r>
              <w:rPr>
                <w:rFonts w:ascii="Calibri" w:hAnsi="Calibri"/>
                <w:color w:val="1F2937"/>
                <w:sz w:val="18"/>
              </w:rPr>
              <w:t>07-componentes-tailwind.md</w:t>
            </w:r>
          </w:p>
        </w:tc>
        <w:tc>
          <w:tcPr>
            <w:tcW w:type="dxa" w:w="4608"/>
            <w:shd w:fill="F9FAFB"/>
            <w:tcMar>
              <w:top w:w="100" w:type="dxa"/>
              <w:bottom w:w="100" w:type="dxa"/>
              <w:left w:w="140" w:type="dxa"/>
              <w:right w:w="140" w:type="dxa"/>
            </w:tcMar>
          </w:tcPr>
          <w:p>
            <w:pPr>
              <w:spacing w:before="0" w:after="0" w:line="264" w:lineRule="auto"/>
            </w:pPr>
            <w:r>
              <w:rPr>
                <w:rFonts w:ascii="Calibri" w:hAnsi="Calibri"/>
                <w:color w:val="1F2937"/>
                <w:sz w:val="18"/>
              </w:rPr>
              <w:t>Componentes de interfaz: botones, cards, tablas de datos, modales CDK y navbars.</w:t>
            </w:r>
          </w:p>
        </w:tc>
      </w:tr>
      <w:tr>
        <w:tc>
          <w:tcPr>
            <w:tcW w:type="dxa" w:w="1584"/>
            <w:shd w:fill="FFFFFF"/>
            <w:tcMar>
              <w:top w:w="100" w:type="dxa"/>
              <w:bottom w:w="100" w:type="dxa"/>
              <w:left w:w="140" w:type="dxa"/>
              <w:right w:w="140" w:type="dxa"/>
            </w:tcMar>
          </w:tcPr>
          <w:p>
            <w:pPr>
              <w:spacing w:before="0" w:after="0" w:line="264" w:lineRule="auto"/>
            </w:pPr>
            <w:r>
              <w:rPr>
                <w:rFonts w:ascii="Calibri" w:hAnsi="Calibri"/>
                <w:color w:val="1F2937"/>
                <w:sz w:val="18"/>
              </w:rPr>
              <w:t>08</w:t>
            </w:r>
          </w:p>
        </w:tc>
        <w:tc>
          <w:tcPr>
            <w:tcW w:type="dxa" w:w="3456"/>
            <w:shd w:fill="FFFFFF"/>
            <w:tcMar>
              <w:top w:w="100" w:type="dxa"/>
              <w:bottom w:w="100" w:type="dxa"/>
              <w:left w:w="140" w:type="dxa"/>
              <w:right w:w="140" w:type="dxa"/>
            </w:tcMar>
          </w:tcPr>
          <w:p>
            <w:pPr>
              <w:spacing w:before="0" w:after="0" w:line="264" w:lineRule="auto"/>
            </w:pPr>
            <w:r>
              <w:rPr>
                <w:rFonts w:ascii="Calibri" w:hAnsi="Calibri"/>
                <w:color w:val="1F2937"/>
                <w:sz w:val="18"/>
              </w:rPr>
              <w:t>08-responsive-design.md</w:t>
            </w:r>
          </w:p>
        </w:tc>
        <w:tc>
          <w:tcPr>
            <w:tcW w:type="dxa" w:w="4608"/>
            <w:shd w:fill="FFFFFF"/>
            <w:tcMar>
              <w:top w:w="100" w:type="dxa"/>
              <w:bottom w:w="100" w:type="dxa"/>
              <w:left w:w="140" w:type="dxa"/>
              <w:right w:w="140" w:type="dxa"/>
            </w:tcMar>
          </w:tcPr>
          <w:p>
            <w:pPr>
              <w:spacing w:before="0" w:after="0" w:line="264" w:lineRule="auto"/>
            </w:pPr>
            <w:r>
              <w:rPr>
                <w:rFonts w:ascii="Calibri" w:hAnsi="Calibri"/>
                <w:color w:val="1F2937"/>
                <w:sz w:val="18"/>
              </w:rPr>
              <w:t>Responsive design Mobile-First en Angular, BreakpointObserver con signals y Electron.</w:t>
            </w:r>
          </w:p>
        </w:tc>
      </w:tr>
      <w:tr>
        <w:tc>
          <w:tcPr>
            <w:tcW w:type="dxa" w:w="1584"/>
            <w:shd w:fill="F9FAFB"/>
            <w:tcMar>
              <w:top w:w="100" w:type="dxa"/>
              <w:bottom w:w="100" w:type="dxa"/>
              <w:left w:w="140" w:type="dxa"/>
              <w:right w:w="140" w:type="dxa"/>
            </w:tcMar>
          </w:tcPr>
          <w:p>
            <w:pPr>
              <w:spacing w:before="0" w:after="0" w:line="264" w:lineRule="auto"/>
            </w:pPr>
            <w:r>
              <w:rPr>
                <w:rFonts w:ascii="Calibri" w:hAnsi="Calibri"/>
                <w:color w:val="1F2937"/>
                <w:sz w:val="18"/>
              </w:rPr>
              <w:t>09</w:t>
            </w:r>
          </w:p>
        </w:tc>
        <w:tc>
          <w:tcPr>
            <w:tcW w:type="dxa" w:w="3456"/>
            <w:shd w:fill="F9FAFB"/>
            <w:tcMar>
              <w:top w:w="100" w:type="dxa"/>
              <w:bottom w:w="100" w:type="dxa"/>
              <w:left w:w="140" w:type="dxa"/>
              <w:right w:w="140" w:type="dxa"/>
            </w:tcMar>
          </w:tcPr>
          <w:p>
            <w:pPr>
              <w:spacing w:before="0" w:after="0" w:line="264" w:lineRule="auto"/>
            </w:pPr>
            <w:r>
              <w:rPr>
                <w:rFonts w:ascii="Calibri" w:hAnsi="Calibri"/>
                <w:color w:val="1F2937"/>
                <w:sz w:val="18"/>
              </w:rPr>
              <w:t>09-ecosistema-frontend.md</w:t>
            </w:r>
          </w:p>
        </w:tc>
        <w:tc>
          <w:tcPr>
            <w:tcW w:type="dxa" w:w="4608"/>
            <w:shd w:fill="F9FAFB"/>
            <w:tcMar>
              <w:top w:w="100" w:type="dxa"/>
              <w:bottom w:w="100" w:type="dxa"/>
              <w:left w:w="140" w:type="dxa"/>
              <w:right w:w="140" w:type="dxa"/>
            </w:tcMar>
          </w:tcPr>
          <w:p>
            <w:pPr>
              <w:spacing w:before="0" w:after="0" w:line="264" w:lineRule="auto"/>
            </w:pPr>
            <w:r>
              <w:rPr>
                <w:rFonts w:ascii="Calibri" w:hAnsi="Calibri"/>
                <w:color w:val="1F2937"/>
                <w:sz w:val="18"/>
              </w:rPr>
              <w:t>Node.js, npm, Angular Standalone, TypeScript estricto, Angular Signals, Storybook y Electron.</w:t>
            </w:r>
          </w:p>
        </w:tc>
      </w:tr>
      <w:tr>
        <w:tc>
          <w:tcPr>
            <w:tcW w:type="dxa" w:w="1584"/>
            <w:shd w:fill="FFFFFF"/>
            <w:tcMar>
              <w:top w:w="100" w:type="dxa"/>
              <w:bottom w:w="100" w:type="dxa"/>
              <w:left w:w="140" w:type="dxa"/>
              <w:right w:w="140" w:type="dxa"/>
            </w:tcMar>
          </w:tcPr>
          <w:p>
            <w:pPr>
              <w:spacing w:before="0" w:after="0" w:line="264" w:lineRule="auto"/>
            </w:pPr>
            <w:r>
              <w:rPr>
                <w:rFonts w:ascii="Calibri" w:hAnsi="Calibri"/>
                <w:color w:val="1F2937"/>
                <w:sz w:val="18"/>
              </w:rPr>
              <w:t>10</w:t>
            </w:r>
          </w:p>
        </w:tc>
        <w:tc>
          <w:tcPr>
            <w:tcW w:type="dxa" w:w="3456"/>
            <w:shd w:fill="FFFFFF"/>
            <w:tcMar>
              <w:top w:w="100" w:type="dxa"/>
              <w:bottom w:w="100" w:type="dxa"/>
              <w:left w:w="140" w:type="dxa"/>
              <w:right w:w="140" w:type="dxa"/>
            </w:tcMar>
          </w:tcPr>
          <w:p>
            <w:pPr>
              <w:spacing w:before="0" w:after="0" w:line="264" w:lineRule="auto"/>
            </w:pPr>
            <w:r>
              <w:rPr>
                <w:rFonts w:ascii="Calibri" w:hAnsi="Calibri"/>
                <w:color w:val="1F2937"/>
                <w:sz w:val="18"/>
              </w:rPr>
              <w:t>10-arquitectura-angular.md</w:t>
            </w:r>
          </w:p>
        </w:tc>
        <w:tc>
          <w:tcPr>
            <w:tcW w:type="dxa" w:w="4608"/>
            <w:shd w:fill="FFFFFF"/>
            <w:tcMar>
              <w:top w:w="100" w:type="dxa"/>
              <w:bottom w:w="100" w:type="dxa"/>
              <w:left w:w="140" w:type="dxa"/>
              <w:right w:w="140" w:type="dxa"/>
            </w:tcMar>
          </w:tcPr>
          <w:p>
            <w:pPr>
              <w:spacing w:before="0" w:after="0" w:line="264" w:lineRule="auto"/>
            </w:pPr>
            <w:r>
              <w:rPr>
                <w:rFonts w:ascii="Calibri" w:hAnsi="Calibri"/>
                <w:color w:val="1F2937"/>
                <w:sz w:val="18"/>
              </w:rPr>
              <w:t>Arquitectura por componentes Standalone, patrón Smart vs Presentational y signals.</w:t>
            </w:r>
          </w:p>
        </w:tc>
      </w:tr>
      <w:tr>
        <w:tc>
          <w:tcPr>
            <w:tcW w:type="dxa" w:w="1584"/>
            <w:shd w:fill="F9FAFB"/>
            <w:tcMar>
              <w:top w:w="100" w:type="dxa"/>
              <w:bottom w:w="100" w:type="dxa"/>
              <w:left w:w="140" w:type="dxa"/>
              <w:right w:w="140" w:type="dxa"/>
            </w:tcMar>
          </w:tcPr>
          <w:p>
            <w:pPr>
              <w:spacing w:before="0" w:after="0" w:line="264" w:lineRule="auto"/>
            </w:pPr>
            <w:r>
              <w:rPr>
                <w:rFonts w:ascii="Calibri" w:hAnsi="Calibri"/>
                <w:color w:val="1F2937"/>
                <w:sz w:val="18"/>
              </w:rPr>
              <w:t>11</w:t>
            </w:r>
          </w:p>
        </w:tc>
        <w:tc>
          <w:tcPr>
            <w:tcW w:type="dxa" w:w="3456"/>
            <w:shd w:fill="F9FAFB"/>
            <w:tcMar>
              <w:top w:w="100" w:type="dxa"/>
              <w:bottom w:w="100" w:type="dxa"/>
              <w:left w:w="140" w:type="dxa"/>
              <w:right w:w="140" w:type="dxa"/>
            </w:tcMar>
          </w:tcPr>
          <w:p>
            <w:pPr>
              <w:spacing w:before="0" w:after="0" w:line="264" w:lineRule="auto"/>
            </w:pPr>
            <w:r>
              <w:rPr>
                <w:rFonts w:ascii="Calibri" w:hAnsi="Calibri"/>
                <w:color w:val="1F2937"/>
                <w:sz w:val="18"/>
              </w:rPr>
              <w:t>11-componentes-reutilizables.md</w:t>
            </w:r>
          </w:p>
        </w:tc>
        <w:tc>
          <w:tcPr>
            <w:tcW w:type="dxa" w:w="4608"/>
            <w:shd w:fill="F9FAFB"/>
            <w:tcMar>
              <w:top w:w="100" w:type="dxa"/>
              <w:bottom w:w="100" w:type="dxa"/>
              <w:left w:w="140" w:type="dxa"/>
              <w:right w:w="140" w:type="dxa"/>
            </w:tcMar>
          </w:tcPr>
          <w:p>
            <w:pPr>
              <w:spacing w:before="0" w:after="0" w:line="264" w:lineRule="auto"/>
            </w:pPr>
            <w:r>
              <w:rPr>
                <w:rFonts w:ascii="Calibri" w:hAnsi="Calibri"/>
                <w:color w:val="1F2937"/>
                <w:sz w:val="18"/>
              </w:rPr>
              <w:t>Componentes reutilizables SOLID, proyección ng-content y estados de UI.</w:t>
            </w:r>
          </w:p>
        </w:tc>
      </w:tr>
      <w:tr>
        <w:tc>
          <w:tcPr>
            <w:tcW w:type="dxa" w:w="1584"/>
            <w:shd w:fill="FFFFFF"/>
            <w:tcMar>
              <w:top w:w="100" w:type="dxa"/>
              <w:bottom w:w="100" w:type="dxa"/>
              <w:left w:w="140" w:type="dxa"/>
              <w:right w:w="140" w:type="dxa"/>
            </w:tcMar>
          </w:tcPr>
          <w:p>
            <w:pPr>
              <w:spacing w:before="0" w:after="0" w:line="264" w:lineRule="auto"/>
            </w:pPr>
            <w:r>
              <w:rPr>
                <w:rFonts w:ascii="Calibri" w:hAnsi="Calibri"/>
                <w:color w:val="1F2937"/>
                <w:sz w:val="18"/>
              </w:rPr>
              <w:t>12</w:t>
            </w:r>
          </w:p>
        </w:tc>
        <w:tc>
          <w:tcPr>
            <w:tcW w:type="dxa" w:w="3456"/>
            <w:shd w:fill="FFFFFF"/>
            <w:tcMar>
              <w:top w:w="100" w:type="dxa"/>
              <w:bottom w:w="100" w:type="dxa"/>
              <w:left w:w="140" w:type="dxa"/>
              <w:right w:w="140" w:type="dxa"/>
            </w:tcMar>
          </w:tcPr>
          <w:p>
            <w:pPr>
              <w:spacing w:before="0" w:after="0" w:line="264" w:lineRule="auto"/>
            </w:pPr>
            <w:r>
              <w:rPr>
                <w:rFonts w:ascii="Calibri" w:hAnsi="Calibri"/>
                <w:color w:val="1F2937"/>
                <w:sz w:val="18"/>
              </w:rPr>
              <w:t>12-formularios-interaccion.md</w:t>
            </w:r>
          </w:p>
        </w:tc>
        <w:tc>
          <w:tcPr>
            <w:tcW w:type="dxa" w:w="4608"/>
            <w:shd w:fill="FFFFFF"/>
            <w:tcMar>
              <w:top w:w="100" w:type="dxa"/>
              <w:bottom w:w="100" w:type="dxa"/>
              <w:left w:w="140" w:type="dxa"/>
              <w:right w:w="140" w:type="dxa"/>
            </w:tcMar>
          </w:tcPr>
          <w:p>
            <w:pPr>
              <w:spacing w:before="0" w:after="0" w:line="264" w:lineRule="auto"/>
            </w:pPr>
            <w:r>
              <w:rPr>
                <w:rFonts w:ascii="Calibri" w:hAnsi="Calibri"/>
                <w:color w:val="1F2937"/>
                <w:sz w:val="18"/>
              </w:rPr>
              <w:t>Reactive Forms avanzados, validadores personalizados, mensajes contextuales y wizards.</w:t>
            </w:r>
          </w:p>
        </w:tc>
      </w:tr>
      <w:tr>
        <w:tc>
          <w:tcPr>
            <w:tcW w:type="dxa" w:w="1584"/>
            <w:shd w:fill="F9FAFB"/>
            <w:tcMar>
              <w:top w:w="100" w:type="dxa"/>
              <w:bottom w:w="100" w:type="dxa"/>
              <w:left w:w="140" w:type="dxa"/>
              <w:right w:w="140" w:type="dxa"/>
            </w:tcMar>
          </w:tcPr>
          <w:p>
            <w:pPr>
              <w:spacing w:before="0" w:after="0" w:line="264" w:lineRule="auto"/>
            </w:pPr>
            <w:r>
              <w:rPr>
                <w:rFonts w:ascii="Calibri" w:hAnsi="Calibri"/>
                <w:color w:val="1F2937"/>
                <w:sz w:val="18"/>
              </w:rPr>
              <w:t>13</w:t>
            </w:r>
          </w:p>
        </w:tc>
        <w:tc>
          <w:tcPr>
            <w:tcW w:type="dxa" w:w="3456"/>
            <w:shd w:fill="F9FAFB"/>
            <w:tcMar>
              <w:top w:w="100" w:type="dxa"/>
              <w:bottom w:w="100" w:type="dxa"/>
              <w:left w:w="140" w:type="dxa"/>
              <w:right w:w="140" w:type="dxa"/>
            </w:tcMar>
          </w:tcPr>
          <w:p>
            <w:pPr>
              <w:spacing w:before="0" w:after="0" w:line="264" w:lineRule="auto"/>
            </w:pPr>
            <w:r>
              <w:rPr>
                <w:rFonts w:ascii="Calibri" w:hAnsi="Calibri"/>
                <w:color w:val="1F2937"/>
                <w:sz w:val="18"/>
              </w:rPr>
              <w:t>13-design-systems.md</w:t>
            </w:r>
          </w:p>
        </w:tc>
        <w:tc>
          <w:tcPr>
            <w:tcW w:type="dxa" w:w="4608"/>
            <w:shd w:fill="F9FAFB"/>
            <w:tcMar>
              <w:top w:w="100" w:type="dxa"/>
              <w:bottom w:w="100" w:type="dxa"/>
              <w:left w:w="140" w:type="dxa"/>
              <w:right w:w="140" w:type="dxa"/>
            </w:tcMar>
          </w:tcPr>
          <w:p>
            <w:pPr>
              <w:spacing w:before="0" w:after="0" w:line="264" w:lineRule="auto"/>
            </w:pPr>
            <w:r>
              <w:rPr>
                <w:rFonts w:ascii="Calibri" w:hAnsi="Calibri"/>
                <w:color w:val="1F2937"/>
                <w:sz w:val="18"/>
              </w:rPr>
              <w:t>Design systems, Atomic Design, tokens fuente de verdad y ThemeProvider con signals.</w:t>
            </w:r>
          </w:p>
        </w:tc>
      </w:tr>
      <w:tr>
        <w:tc>
          <w:tcPr>
            <w:tcW w:type="dxa" w:w="1584"/>
            <w:shd w:fill="FFFFFF"/>
            <w:tcMar>
              <w:top w:w="100" w:type="dxa"/>
              <w:bottom w:w="100" w:type="dxa"/>
              <w:left w:w="140" w:type="dxa"/>
              <w:right w:w="140" w:type="dxa"/>
            </w:tcMar>
          </w:tcPr>
          <w:p>
            <w:pPr>
              <w:spacing w:before="0" w:after="0" w:line="264" w:lineRule="auto"/>
            </w:pPr>
            <w:r>
              <w:rPr>
                <w:rFonts w:ascii="Calibri" w:hAnsi="Calibri"/>
                <w:color w:val="1F2937"/>
                <w:sz w:val="18"/>
              </w:rPr>
              <w:t>14</w:t>
            </w:r>
          </w:p>
        </w:tc>
        <w:tc>
          <w:tcPr>
            <w:tcW w:type="dxa" w:w="3456"/>
            <w:shd w:fill="FFFFFF"/>
            <w:tcMar>
              <w:top w:w="100" w:type="dxa"/>
              <w:bottom w:w="100" w:type="dxa"/>
              <w:left w:w="140" w:type="dxa"/>
              <w:right w:w="140" w:type="dxa"/>
            </w:tcMar>
          </w:tcPr>
          <w:p>
            <w:pPr>
              <w:spacing w:before="0" w:after="0" w:line="264" w:lineRule="auto"/>
            </w:pPr>
            <w:r>
              <w:rPr>
                <w:rFonts w:ascii="Calibri" w:hAnsi="Calibri"/>
                <w:color w:val="1F2937"/>
                <w:sz w:val="18"/>
              </w:rPr>
              <w:t>14-storybook.md</w:t>
            </w:r>
          </w:p>
        </w:tc>
        <w:tc>
          <w:tcPr>
            <w:tcW w:type="dxa" w:w="4608"/>
            <w:shd w:fill="FFFFFF"/>
            <w:tcMar>
              <w:top w:w="100" w:type="dxa"/>
              <w:bottom w:w="100" w:type="dxa"/>
              <w:left w:w="140" w:type="dxa"/>
              <w:right w:w="140" w:type="dxa"/>
            </w:tcMar>
          </w:tcPr>
          <w:p>
            <w:pPr>
              <w:spacing w:before="0" w:after="0" w:line="264" w:lineRule="auto"/>
            </w:pPr>
            <w:r>
              <w:rPr>
                <w:rFonts w:ascii="Calibri" w:hAnsi="Calibri"/>
                <w:color w:val="1F2937"/>
                <w:sz w:val="18"/>
              </w:rPr>
              <w:t>Documentación de componentes con Storybook, formato CSF3, addons y pruebas de interacción.</w:t>
            </w:r>
          </w:p>
        </w:tc>
      </w:tr>
      <w:tr>
        <w:tc>
          <w:tcPr>
            <w:tcW w:type="dxa" w:w="1584"/>
            <w:shd w:fill="F9FAFB"/>
            <w:tcMar>
              <w:top w:w="100" w:type="dxa"/>
              <w:bottom w:w="100" w:type="dxa"/>
              <w:left w:w="140" w:type="dxa"/>
              <w:right w:w="140" w:type="dxa"/>
            </w:tcMar>
          </w:tcPr>
          <w:p>
            <w:pPr>
              <w:spacing w:before="0" w:after="0" w:line="264" w:lineRule="auto"/>
            </w:pPr>
            <w:r>
              <w:rPr>
                <w:rFonts w:ascii="Calibri" w:hAnsi="Calibri"/>
                <w:color w:val="1F2937"/>
                <w:sz w:val="18"/>
              </w:rPr>
              <w:t>15</w:t>
            </w:r>
          </w:p>
        </w:tc>
        <w:tc>
          <w:tcPr>
            <w:tcW w:type="dxa" w:w="3456"/>
            <w:shd w:fill="F9FAFB"/>
            <w:tcMar>
              <w:top w:w="100" w:type="dxa"/>
              <w:bottom w:w="100" w:type="dxa"/>
              <w:left w:w="140" w:type="dxa"/>
              <w:right w:w="140" w:type="dxa"/>
            </w:tcMar>
          </w:tcPr>
          <w:p>
            <w:pPr>
              <w:spacing w:before="0" w:after="0" w:line="264" w:lineRule="auto"/>
            </w:pPr>
            <w:r>
              <w:rPr>
                <w:rFonts w:ascii="Calibri" w:hAnsi="Calibri"/>
                <w:color w:val="1F2937"/>
                <w:sz w:val="18"/>
              </w:rPr>
              <w:t>15-diseno-a-implementacion.md</w:t>
            </w:r>
          </w:p>
        </w:tc>
        <w:tc>
          <w:tcPr>
            <w:tcW w:type="dxa" w:w="4608"/>
            <w:shd w:fill="F9FAFB"/>
            <w:tcMar>
              <w:top w:w="100" w:type="dxa"/>
              <w:bottom w:w="100" w:type="dxa"/>
              <w:left w:w="140" w:type="dxa"/>
              <w:right w:w="140" w:type="dxa"/>
            </w:tcMar>
          </w:tcPr>
          <w:p>
            <w:pPr>
              <w:spacing w:before="0" w:after="0" w:line="264" w:lineRule="auto"/>
            </w:pPr>
            <w:r>
              <w:rPr>
                <w:rFonts w:ascii="Calibri" w:hAnsi="Calibri"/>
                <w:color w:val="1F2937"/>
                <w:sz w:val="18"/>
              </w:rPr>
              <w:t>Handoff Figma Dev Mode a código Angular+Tailwind, Atomic Design y testing.</w:t>
            </w:r>
          </w:p>
        </w:tc>
      </w:tr>
      <w:tr>
        <w:tc>
          <w:tcPr>
            <w:tcW w:type="dxa" w:w="1584"/>
            <w:shd w:fill="FFFFFF"/>
            <w:tcMar>
              <w:top w:w="100" w:type="dxa"/>
              <w:bottom w:w="100" w:type="dxa"/>
              <w:left w:w="140" w:type="dxa"/>
              <w:right w:w="140" w:type="dxa"/>
            </w:tcMar>
          </w:tcPr>
          <w:p>
            <w:pPr>
              <w:spacing w:before="0" w:after="0" w:line="264" w:lineRule="auto"/>
            </w:pPr>
            <w:r>
              <w:rPr>
                <w:rFonts w:ascii="Calibri" w:hAnsi="Calibri"/>
                <w:color w:val="1F2937"/>
                <w:sz w:val="18"/>
              </w:rPr>
              <w:t>16</w:t>
            </w:r>
          </w:p>
        </w:tc>
        <w:tc>
          <w:tcPr>
            <w:tcW w:type="dxa" w:w="3456"/>
            <w:shd w:fill="FFFFFF"/>
            <w:tcMar>
              <w:top w:w="100" w:type="dxa"/>
              <w:bottom w:w="100" w:type="dxa"/>
              <w:left w:w="140" w:type="dxa"/>
              <w:right w:w="140" w:type="dxa"/>
            </w:tcMar>
          </w:tcPr>
          <w:p>
            <w:pPr>
              <w:spacing w:before="0" w:after="0" w:line="264" w:lineRule="auto"/>
            </w:pPr>
            <w:r>
              <w:rPr>
                <w:rFonts w:ascii="Calibri" w:hAnsi="Calibri"/>
                <w:color w:val="1F2937"/>
                <w:sz w:val="18"/>
              </w:rPr>
              <w:t>16-generacion-informes.md</w:t>
            </w:r>
          </w:p>
        </w:tc>
        <w:tc>
          <w:tcPr>
            <w:tcW w:type="dxa" w:w="4608"/>
            <w:shd w:fill="FFFFFF"/>
            <w:tcMar>
              <w:top w:w="100" w:type="dxa"/>
              <w:bottom w:w="100" w:type="dxa"/>
              <w:left w:w="140" w:type="dxa"/>
              <w:right w:w="140" w:type="dxa"/>
            </w:tcMar>
          </w:tcPr>
          <w:p>
            <w:pPr>
              <w:spacing w:before="0" w:after="0" w:line="264" w:lineRule="auto"/>
            </w:pPr>
            <w:r>
              <w:rPr>
                <w:rFonts w:ascii="Calibri" w:hAnsi="Calibri"/>
                <w:color w:val="1F2937"/>
                <w:sz w:val="18"/>
              </w:rPr>
              <w:t>Generación de informes con PDFMake, jsPDF y exportación Excel/CSV con SheetJS.</w:t>
            </w:r>
          </w:p>
        </w:tc>
      </w:tr>
      <w:tr>
        <w:tc>
          <w:tcPr>
            <w:tcW w:type="dxa" w:w="1584"/>
            <w:shd w:fill="F9FAFB"/>
            <w:tcMar>
              <w:top w:w="100" w:type="dxa"/>
              <w:bottom w:w="100" w:type="dxa"/>
              <w:left w:w="140" w:type="dxa"/>
              <w:right w:w="140" w:type="dxa"/>
            </w:tcMar>
          </w:tcPr>
          <w:p>
            <w:pPr>
              <w:spacing w:before="0" w:after="0" w:line="264" w:lineRule="auto"/>
            </w:pPr>
            <w:r>
              <w:rPr>
                <w:rFonts w:ascii="Calibri" w:hAnsi="Calibri"/>
                <w:color w:val="1F2937"/>
                <w:sz w:val="18"/>
              </w:rPr>
              <w:t>17</w:t>
            </w:r>
          </w:p>
        </w:tc>
        <w:tc>
          <w:tcPr>
            <w:tcW w:type="dxa" w:w="3456"/>
            <w:shd w:fill="F9FAFB"/>
            <w:tcMar>
              <w:top w:w="100" w:type="dxa"/>
              <w:bottom w:w="100" w:type="dxa"/>
              <w:left w:w="140" w:type="dxa"/>
              <w:right w:w="140" w:type="dxa"/>
            </w:tcMar>
          </w:tcPr>
          <w:p>
            <w:pPr>
              <w:spacing w:before="0" w:after="0" w:line="264" w:lineRule="auto"/>
            </w:pPr>
            <w:r>
              <w:rPr>
                <w:rFonts w:ascii="Calibri" w:hAnsi="Calibri"/>
                <w:color w:val="1F2937"/>
                <w:sz w:val="18"/>
              </w:rPr>
              <w:t>17-dashboards-exportacion-datos.md</w:t>
            </w:r>
          </w:p>
        </w:tc>
        <w:tc>
          <w:tcPr>
            <w:tcW w:type="dxa" w:w="4608"/>
            <w:shd w:fill="F9FAFB"/>
            <w:tcMar>
              <w:top w:w="100" w:type="dxa"/>
              <w:bottom w:w="100" w:type="dxa"/>
              <w:left w:w="140" w:type="dxa"/>
              <w:right w:w="140" w:type="dxa"/>
            </w:tcMar>
          </w:tcPr>
          <w:p>
            <w:pPr>
              <w:spacing w:before="0" w:after="0" w:line="264" w:lineRule="auto"/>
            </w:pPr>
            <w:r>
              <w:rPr>
                <w:rFonts w:ascii="Calibri" w:hAnsi="Calibri"/>
                <w:color w:val="1F2937"/>
                <w:sz w:val="18"/>
              </w:rPr>
              <w:t>Dashboards interactivos con Chart.js, ApexCharts, widgets KPI y exportación.</w:t>
            </w:r>
          </w:p>
        </w:tc>
      </w:tr>
      <w:tr>
        <w:tc>
          <w:tcPr>
            <w:tcW w:type="dxa" w:w="1584"/>
            <w:shd w:fill="FFFFFF"/>
            <w:tcMar>
              <w:top w:w="100" w:type="dxa"/>
              <w:bottom w:w="100" w:type="dxa"/>
              <w:left w:w="140" w:type="dxa"/>
              <w:right w:w="140" w:type="dxa"/>
            </w:tcMar>
          </w:tcPr>
          <w:p>
            <w:pPr>
              <w:spacing w:before="0" w:after="0" w:line="264" w:lineRule="auto"/>
            </w:pPr>
            <w:r>
              <w:rPr>
                <w:rFonts w:ascii="Calibri" w:hAnsi="Calibri"/>
                <w:color w:val="1F2937"/>
                <w:sz w:val="18"/>
              </w:rPr>
              <w:t>18</w:t>
            </w:r>
          </w:p>
        </w:tc>
        <w:tc>
          <w:tcPr>
            <w:tcW w:type="dxa" w:w="3456"/>
            <w:shd w:fill="FFFFFF"/>
            <w:tcMar>
              <w:top w:w="100" w:type="dxa"/>
              <w:bottom w:w="100" w:type="dxa"/>
              <w:left w:w="140" w:type="dxa"/>
              <w:right w:w="140" w:type="dxa"/>
            </w:tcMar>
          </w:tcPr>
          <w:p>
            <w:pPr>
              <w:spacing w:before="0" w:after="0" w:line="264" w:lineRule="auto"/>
            </w:pPr>
            <w:r>
              <w:rPr>
                <w:rFonts w:ascii="Calibri" w:hAnsi="Calibri"/>
                <w:color w:val="1F2937"/>
                <w:sz w:val="18"/>
              </w:rPr>
              <w:t>18-documentacion-aplicaciones.md</w:t>
            </w:r>
          </w:p>
        </w:tc>
        <w:tc>
          <w:tcPr>
            <w:tcW w:type="dxa" w:w="4608"/>
            <w:shd w:fill="FFFFFF"/>
            <w:tcMar>
              <w:top w:w="100" w:type="dxa"/>
              <w:bottom w:w="100" w:type="dxa"/>
              <w:left w:w="140" w:type="dxa"/>
              <w:right w:w="140" w:type="dxa"/>
            </w:tcMar>
          </w:tcPr>
          <w:p>
            <w:pPr>
              <w:spacing w:before="0" w:after="0" w:line="264" w:lineRule="auto"/>
            </w:pPr>
            <w:r>
              <w:rPr>
                <w:rFonts w:ascii="Calibri" w:hAnsi="Calibri"/>
                <w:color w:val="1F2937"/>
                <w:sz w:val="18"/>
              </w:rPr>
              <w:t>Documentación de apps, ayudas contextuales, MkDocs/Docusaurus y TSDoc.</w:t>
            </w:r>
          </w:p>
        </w:tc>
      </w:tr>
      <w:tr>
        <w:tc>
          <w:tcPr>
            <w:tcW w:type="dxa" w:w="1584"/>
            <w:shd w:fill="F9FAFB"/>
            <w:tcMar>
              <w:top w:w="100" w:type="dxa"/>
              <w:bottom w:w="100" w:type="dxa"/>
              <w:left w:w="140" w:type="dxa"/>
              <w:right w:w="140" w:type="dxa"/>
            </w:tcMar>
          </w:tcPr>
          <w:p>
            <w:pPr>
              <w:spacing w:before="0" w:after="0" w:line="264" w:lineRule="auto"/>
            </w:pPr>
            <w:r>
              <w:rPr>
                <w:rFonts w:ascii="Calibri" w:hAnsi="Calibri"/>
                <w:color w:val="1F2937"/>
                <w:sz w:val="18"/>
              </w:rPr>
              <w:t>19</w:t>
            </w:r>
          </w:p>
        </w:tc>
        <w:tc>
          <w:tcPr>
            <w:tcW w:type="dxa" w:w="3456"/>
            <w:shd w:fill="F9FAFB"/>
            <w:tcMar>
              <w:top w:w="100" w:type="dxa"/>
              <w:bottom w:w="100" w:type="dxa"/>
              <w:left w:w="140" w:type="dxa"/>
              <w:right w:w="140" w:type="dxa"/>
            </w:tcMar>
          </w:tcPr>
          <w:p>
            <w:pPr>
              <w:spacing w:before="0" w:after="0" w:line="264" w:lineRule="auto"/>
            </w:pPr>
            <w:r>
              <w:rPr>
                <w:rFonts w:ascii="Calibri" w:hAnsi="Calibri"/>
                <w:color w:val="1F2937"/>
                <w:sz w:val="18"/>
              </w:rPr>
              <w:t>19-pruebas-de-software.md</w:t>
            </w:r>
          </w:p>
        </w:tc>
        <w:tc>
          <w:tcPr>
            <w:tcW w:type="dxa" w:w="4608"/>
            <w:shd w:fill="F9FAFB"/>
            <w:tcMar>
              <w:top w:w="100" w:type="dxa"/>
              <w:bottom w:w="100" w:type="dxa"/>
              <w:left w:w="140" w:type="dxa"/>
              <w:right w:w="140" w:type="dxa"/>
            </w:tcMar>
          </w:tcPr>
          <w:p>
            <w:pPr>
              <w:spacing w:before="0" w:after="0" w:line="264" w:lineRule="auto"/>
            </w:pPr>
            <w:r>
              <w:rPr>
                <w:rFonts w:ascii="Calibri" w:hAnsi="Calibri"/>
                <w:color w:val="1F2937"/>
                <w:sz w:val="18"/>
              </w:rPr>
              <w:t>Pirámide de pruebas: unitarias con mocks, integración y E2E con Playwright.</w:t>
            </w:r>
          </w:p>
        </w:tc>
      </w:tr>
      <w:tr>
        <w:tc>
          <w:tcPr>
            <w:tcW w:type="dxa" w:w="1584"/>
            <w:shd w:fill="FFFFFF"/>
            <w:tcMar>
              <w:top w:w="100" w:type="dxa"/>
              <w:bottom w:w="100" w:type="dxa"/>
              <w:left w:w="140" w:type="dxa"/>
              <w:right w:w="140" w:type="dxa"/>
            </w:tcMar>
          </w:tcPr>
          <w:p>
            <w:pPr>
              <w:spacing w:before="0" w:after="0" w:line="264" w:lineRule="auto"/>
            </w:pPr>
            <w:r>
              <w:rPr>
                <w:rFonts w:ascii="Calibri" w:hAnsi="Calibri"/>
                <w:color w:val="1F2937"/>
                <w:sz w:val="18"/>
              </w:rPr>
              <w:t>20</w:t>
            </w:r>
          </w:p>
        </w:tc>
        <w:tc>
          <w:tcPr>
            <w:tcW w:type="dxa" w:w="3456"/>
            <w:shd w:fill="FFFFFF"/>
            <w:tcMar>
              <w:top w:w="100" w:type="dxa"/>
              <w:bottom w:w="100" w:type="dxa"/>
              <w:left w:w="140" w:type="dxa"/>
              <w:right w:w="140" w:type="dxa"/>
            </w:tcMar>
          </w:tcPr>
          <w:p>
            <w:pPr>
              <w:spacing w:before="0" w:after="0" w:line="264" w:lineRule="auto"/>
            </w:pPr>
            <w:r>
              <w:rPr>
                <w:rFonts w:ascii="Calibri" w:hAnsi="Calibri"/>
                <w:color w:val="1F2937"/>
                <w:sz w:val="18"/>
              </w:rPr>
              <w:t>20-electron.md</w:t>
            </w:r>
          </w:p>
        </w:tc>
        <w:tc>
          <w:tcPr>
            <w:tcW w:type="dxa" w:w="4608"/>
            <w:shd w:fill="FFFFFF"/>
            <w:tcMar>
              <w:top w:w="100" w:type="dxa"/>
              <w:bottom w:w="100" w:type="dxa"/>
              <w:left w:w="140" w:type="dxa"/>
              <w:right w:w="140" w:type="dxa"/>
            </w:tcMar>
          </w:tcPr>
          <w:p>
            <w:pPr>
              <w:spacing w:before="0" w:after="0" w:line="264" w:lineRule="auto"/>
            </w:pPr>
            <w:r>
              <w:rPr>
                <w:rFonts w:ascii="Calibri" w:hAnsi="Calibri"/>
                <w:color w:val="1F2937"/>
                <w:sz w:val="18"/>
              </w:rPr>
              <w:t>Aplicaciones de escritorio con Electron: procesos Main/Renderer, IPC tipado y APIs nativas.</w:t>
            </w:r>
          </w:p>
        </w:tc>
      </w:tr>
      <w:tr>
        <w:tc>
          <w:tcPr>
            <w:tcW w:type="dxa" w:w="1584"/>
            <w:shd w:fill="F9FAFB"/>
            <w:tcMar>
              <w:top w:w="100" w:type="dxa"/>
              <w:bottom w:w="100" w:type="dxa"/>
              <w:left w:w="140" w:type="dxa"/>
              <w:right w:w="140" w:type="dxa"/>
            </w:tcMar>
          </w:tcPr>
          <w:p>
            <w:pPr>
              <w:spacing w:before="0" w:after="0" w:line="264" w:lineRule="auto"/>
            </w:pPr>
            <w:r>
              <w:rPr>
                <w:rFonts w:ascii="Calibri" w:hAnsi="Calibri"/>
                <w:color w:val="1F2937"/>
                <w:sz w:val="18"/>
              </w:rPr>
              <w:t>21</w:t>
            </w:r>
          </w:p>
        </w:tc>
        <w:tc>
          <w:tcPr>
            <w:tcW w:type="dxa" w:w="3456"/>
            <w:shd w:fill="F9FAFB"/>
            <w:tcMar>
              <w:top w:w="100" w:type="dxa"/>
              <w:bottom w:w="100" w:type="dxa"/>
              <w:left w:w="140" w:type="dxa"/>
              <w:right w:w="140" w:type="dxa"/>
            </w:tcMar>
          </w:tcPr>
          <w:p>
            <w:pPr>
              <w:spacing w:before="0" w:after="0" w:line="264" w:lineRule="auto"/>
            </w:pPr>
            <w:r>
              <w:rPr>
                <w:rFonts w:ascii="Calibri" w:hAnsi="Calibri"/>
                <w:color w:val="1F2937"/>
                <w:sz w:val="18"/>
              </w:rPr>
              <w:t>21-empaquetado-distribucion.md</w:t>
            </w:r>
          </w:p>
        </w:tc>
        <w:tc>
          <w:tcPr>
            <w:tcW w:type="dxa" w:w="4608"/>
            <w:shd w:fill="F9FAFB"/>
            <w:tcMar>
              <w:top w:w="100" w:type="dxa"/>
              <w:bottom w:w="100" w:type="dxa"/>
              <w:left w:w="140" w:type="dxa"/>
              <w:right w:w="140" w:type="dxa"/>
            </w:tcMar>
          </w:tcPr>
          <w:p>
            <w:pPr>
              <w:spacing w:before="0" w:after="0" w:line="264" w:lineRule="auto"/>
            </w:pPr>
            <w:r>
              <w:rPr>
                <w:rFonts w:ascii="Calibri" w:hAnsi="Calibri"/>
                <w:color w:val="1F2937"/>
                <w:sz w:val="18"/>
              </w:rPr>
              <w:t>electron-builder, instaladores NSIS/AppImage/deb/DMG, autoactualizaciones y CI/CD.</w:t>
            </w:r>
          </w:p>
        </w:tc>
      </w:tr>
      <w:tr>
        <w:tc>
          <w:tcPr>
            <w:tcW w:type="dxa" w:w="1584"/>
            <w:shd w:fill="FFFFFF"/>
            <w:tcMar>
              <w:top w:w="100" w:type="dxa"/>
              <w:bottom w:w="100" w:type="dxa"/>
              <w:left w:w="140" w:type="dxa"/>
              <w:right w:w="140" w:type="dxa"/>
            </w:tcMar>
          </w:tcPr>
          <w:p>
            <w:pPr>
              <w:spacing w:before="0" w:after="0" w:line="264" w:lineRule="auto"/>
            </w:pPr>
            <w:r>
              <w:rPr>
                <w:rFonts w:ascii="Calibri" w:hAnsi="Calibri"/>
                <w:color w:val="1F2937"/>
                <w:sz w:val="18"/>
              </w:rPr>
              <w:t>22</w:t>
            </w:r>
          </w:p>
        </w:tc>
        <w:tc>
          <w:tcPr>
            <w:tcW w:type="dxa" w:w="3456"/>
            <w:shd w:fill="FFFFFF"/>
            <w:tcMar>
              <w:top w:w="100" w:type="dxa"/>
              <w:bottom w:w="100" w:type="dxa"/>
              <w:left w:w="140" w:type="dxa"/>
              <w:right w:w="140" w:type="dxa"/>
            </w:tcMar>
          </w:tcPr>
          <w:p>
            <w:pPr>
              <w:spacing w:before="0" w:after="0" w:line="264" w:lineRule="auto"/>
            </w:pPr>
            <w:r>
              <w:rPr>
                <w:rFonts w:ascii="Calibri" w:hAnsi="Calibri"/>
                <w:color w:val="1F2937"/>
                <w:sz w:val="18"/>
              </w:rPr>
              <w:t>22-proyecto-final.md</w:t>
            </w:r>
          </w:p>
        </w:tc>
        <w:tc>
          <w:tcPr>
            <w:tcW w:type="dxa" w:w="4608"/>
            <w:shd w:fill="FFFFFF"/>
            <w:tcMar>
              <w:top w:w="100" w:type="dxa"/>
              <w:bottom w:w="100" w:type="dxa"/>
              <w:left w:w="140" w:type="dxa"/>
              <w:right w:w="140" w:type="dxa"/>
            </w:tcMar>
          </w:tcPr>
          <w:p>
            <w:pPr>
              <w:spacing w:before="0" w:after="0" w:line="264" w:lineRule="auto"/>
            </w:pPr>
            <w:r>
              <w:rPr>
                <w:rFonts w:ascii="Calibri" w:hAnsi="Calibri"/>
                <w:color w:val="1F2937"/>
                <w:sz w:val="18"/>
              </w:rPr>
              <w:t>Proyecto integrador empresarial completo «GesFlow» en 9 fases con rúbrica de evaluación.</w:t>
            </w:r>
          </w:p>
        </w:tc>
      </w:tr>
    </w:tbl>
    <w:p>
      <w:pPr>
        <w:spacing w:before="40" w:after="80"/>
      </w:pPr>
    </w:p>
    <w:sectPr w:rsidR="00FC693F" w:rsidRPr="0006063C" w:rsidSect="00034616">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