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0F4C81"/>
          <w:sz w:val="44"/>
        </w:rPr>
        <w:t>PROGRAMACIÓN DIDÁCTICA</w:t>
      </w:r>
    </w:p>
    <w:p>
      <w:pPr>
        <w:spacing w:before="0" w:after="160"/>
        <w:jc w:val="center"/>
      </w:pPr>
      <w:r>
        <w:rPr>
          <w:b/>
          <w:color w:val="0284C7"/>
          <w:sz w:val="26"/>
        </w:rPr>
        <w:t>Módulo Profesional: Diseño de Interfaces Web (Código 0615)</w:t>
      </w:r>
    </w:p>
    <w:p>
      <w:pPr>
        <w:spacing w:before="0" w:after="320"/>
        <w:jc w:val="center"/>
      </w:pPr>
      <w:r>
        <w:rPr>
          <w:color w:val="4B5563"/>
          <w:sz w:val="22"/>
        </w:rPr>
        <w:t>Ciclo Formativo de Grado Superior: Desarrollo de Aplicaciones Web (DAW)</w:t>
        <w:br/>
        <w:t>Segundo Curso · Familia Profesional: Informática y Comunicaciones</w:t>
        <w:br/>
        <w:t>Comunidad Autónoma de Andalucía · Curso Académico 2025 /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4824"/>
        <w:gridCol w:w="4824"/>
      </w:tblGrid>
      <w:tr>
        <w:tc>
          <w:tcPr>
            <w:tcW w:type="dxa" w:w="3312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336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y Datos del Módulo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Denominación oficial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Diseño de Interfaces Web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Código oficial del módulo</w:t>
            </w:r>
          </w:p>
        </w:tc>
        <w:tc>
          <w:tcPr>
            <w:tcW w:type="dxa" w:w="633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0615 (Real Decreto 687/2010 y Orden de 16 de junio de 2011)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Ciclo formativo y curso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2º curso de Técnico Superior en Desarrollo de Aplicaciones Web (DAW)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Carga horaria total</w:t>
            </w:r>
          </w:p>
        </w:tc>
        <w:tc>
          <w:tcPr>
            <w:tcW w:type="dxa" w:w="633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175 horas totales (5 horas semanales durante el periodo lectivo en centro + fase dual en empresa)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Equivalencia crediticia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9 créditos ECTS (Grado Superior)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Régimen de impartición</w:t>
            </w:r>
          </w:p>
        </w:tc>
        <w:tc>
          <w:tcPr>
            <w:tcW w:type="dxa" w:w="633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Formación Profesional Grado D - Régimen Dual General (400 horas totales de empresa en 2º curso)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Departamento didáctico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Departamento de Informática y Comunicaciones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Repositorio y Materiales de aula</w:t>
            </w:r>
          </w:p>
        </w:tc>
        <w:tc>
          <w:tcPr>
            <w:tcW w:type="dxa" w:w="633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Carpeta digital del módulo: apuntes estructurados en 23 unidades en docs/</w:t>
            </w:r>
          </w:p>
        </w:tc>
      </w:tr>
    </w:tbl>
    <w:p>
      <w:pPr>
        <w:spacing w:before="4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1. INTRODUCCIÓN Y JUSTIFICACIÓN PEDAGÓGICA DEL MÓDULO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El módulo profesional de Diseño de Interfaces Web (Código 0615) se imparte en el segundo curso del Ciclo Formativo de Grado Superior de Desarrollo de Aplicaciones Web (DAW), perteneciente a la familia profesional de Informática y Comunicaciones, con una carga lectiva de 175 horas totales (a razón de 5 horas semanales durante el periodo lectivo en el centro educativo complementado con la fase de formación en empresa).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En el desarrollo de aplicaciones web actual, la interfaz de usuario (UI) y la experiencia de usuario (UX) constituyen el punto de convergencia crítico entre la lógica del negocio y el usuario final. Un desarrollo técnicamente sólido en backend carece de impacto si la interfaz resulta confusa, inaccesible, lenta o visualmente deficiente.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66534"/>
                <w:sz w:val="20"/>
              </w:rPr>
              <w:t>📌 Propósito Formativo y Competencial de Diseño de Interfaces Web</w:t>
              <w:br/>
            </w:r>
            <w:r>
              <w:rPr>
                <w:rFonts w:ascii="Calibri" w:hAnsi="Calibri"/>
                <w:color w:val="1F2937"/>
                <w:sz w:val="19"/>
              </w:rPr>
              <w:t>El módulo capacita al futuro Técnico Superior en DAW para: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1. Dominar los principios de psicología cognitiva y comunicación visual (Leyes de Gestalt, jerarquía visual, teoría del color y tipografía adaptativa).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2. Diseñar prototipos profesionales e interactivos mediante Figma y construir Sistemas de Diseño (Design Systems y Design Tokens) escalables.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3. Maquetar con HTML5 semántico y CSS moderno avanzado (Flexbox, CSS Grid Layout, Container Queries, variables CSS, metodologías BEM/ITCSS, preprocesadores Sass y frameworks utility-first como Tailwind CSS 4).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4. Integrar y optimizar contenido multimedia de última generación (WebP, AVIF, SVG interactivo, audio/vídeo HTML5) respetando la legislación sobre derechos de autor y licencias.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5. Desarrollar Single Page Applications (SPA) dinámicas y reactivas empleando frameworks frontend modernos basados en componentes (Angular).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6. Garantizar la accesibilidad web universal conforme a las directivas WCAG 2.1 / 2.2 (niveles A, AA y AAA) y WAI-ARIA (RD 1112/2018), así como aplicar auditorías heurísticas de usabilidad (Nielsen, métricas SUS y Core Web Vitals).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La programación didáctica está compaginada de forma exhaustiva con el banco de apuntes, prácticas y código disponible en las 23 unidades temáticas de la carpeta docs/ del módulo.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2. MARCO NORMATIVO VIGENTE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La programación didáctica se fundamenta y ajusta estrictamente a la siguiente jerarquía normativa estatal, autonómica andaluza y sectorial: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2.1 Normativa General del Sistema Educativo y Formación Profesional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Constitución Española de 1978 (Artículo 27): </w:t>
      </w:r>
      <w:r>
        <w:rPr>
          <w:rFonts w:ascii="Calibri" w:hAnsi="Calibri"/>
          <w:color w:val="1F2937"/>
          <w:sz w:val="20"/>
        </w:rPr>
        <w:t>Garantiza el derecho fundamental a la educación y el libre desarrollo de la personalidad.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Ley Orgánica 2/2006, de 3 de mayo, de Educación (LOE / LOMLOE): </w:t>
      </w:r>
      <w:r>
        <w:rPr>
          <w:rFonts w:ascii="Calibri" w:hAnsi="Calibri"/>
          <w:color w:val="1F2937"/>
          <w:sz w:val="20"/>
        </w:rPr>
        <w:t>Marco regulador de las enseñanzas no universitarias, con las modificaciones introducidas por la Ley Orgánica 3/2020 (LOMLOE) en materia de digitalización, diseño universal y equidad educativa.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Ley Orgánica 3/2022, de 31 de marzo, de ordenación e integración de la FP: </w:t>
      </w:r>
      <w:r>
        <w:rPr>
          <w:rFonts w:ascii="Calibri" w:hAnsi="Calibri"/>
          <w:color w:val="1F2937"/>
          <w:sz w:val="20"/>
        </w:rPr>
        <w:t>Establece el marco legal unificado del Sistema de FP y el carácter dual de las ofertas formativas de Grado 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Real Decreto 659/2023, de 18 de julio: </w:t>
      </w:r>
      <w:r>
        <w:rPr>
          <w:rFonts w:ascii="Calibri" w:hAnsi="Calibri"/>
          <w:color w:val="1F2937"/>
          <w:sz w:val="20"/>
        </w:rPr>
        <w:t>Desarrolla la ordenación del Sistema de Formación Profesional (estructura de Grados D, régimen dual y resultados de aprendizaje).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Real Decreto 687/2010, de 20 de mayo: </w:t>
      </w:r>
      <w:r>
        <w:rPr>
          <w:rFonts w:ascii="Calibri" w:hAnsi="Calibri"/>
          <w:color w:val="1F2937"/>
          <w:sz w:val="20"/>
        </w:rPr>
        <w:t>Establece el título de Técnico Superior en Desarrollo de Aplicaciones Web y fija sus enseñanzas mínimas.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Real Decreto 405/2023 y Real Decreto 500/2024: </w:t>
      </w:r>
      <w:r>
        <w:rPr>
          <w:rFonts w:ascii="Calibri" w:hAnsi="Calibri"/>
          <w:color w:val="1F2937"/>
          <w:sz w:val="20"/>
        </w:rPr>
        <w:t>Por los que se actualizan determinados reales decretos de títulos de FP, consolidando las adaptaciones tecnológicas y curriculares en DAW.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2.2 Normativa Autonómica de la Comunidad Autónoma de Andalucía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Estatuto de Autonomía para Andalucía (Ley Orgánica 2/2007) - Artículos 21 y 52: </w:t>
      </w:r>
      <w:r>
        <w:rPr>
          <w:rFonts w:ascii="Calibri" w:hAnsi="Calibri"/>
          <w:color w:val="1F2937"/>
          <w:sz w:val="20"/>
        </w:rPr>
        <w:t>Garantizan el derecho a la educación permanente y la adecuación de la FP a las necesidades del tejido productivo andaluz.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Ley 17/2007, de 10 de diciembre, de Educación de Andalucía (LEA): </w:t>
      </w:r>
      <w:r>
        <w:rPr>
          <w:rFonts w:ascii="Calibri" w:hAnsi="Calibri"/>
          <w:color w:val="1F2937"/>
          <w:sz w:val="20"/>
        </w:rPr>
        <w:t>Marco legal educativo propio de Andalucía.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Decreto 104/2024, de 28 de mayo: </w:t>
      </w:r>
      <w:r>
        <w:rPr>
          <w:rFonts w:ascii="Calibri" w:hAnsi="Calibri"/>
          <w:color w:val="1F2937"/>
          <w:sz w:val="20"/>
        </w:rPr>
        <w:t>Regula la ordenación de las enseñanzas del Sistema de FP en Andalucía, estableciendo el régimen dual y la autonomía pedagógica de los centros educativos (deroga el Decreto 436/2008).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Orden de 18 de septiembre de 2025: </w:t>
      </w:r>
      <w:r>
        <w:rPr>
          <w:rFonts w:ascii="Calibri" w:hAnsi="Calibri"/>
          <w:color w:val="1F2937"/>
          <w:sz w:val="20"/>
        </w:rPr>
        <w:t>Regula con carácter preceptivo la evaluación criterial, continua, formativa y colegiada, así como las convocatorias y titulación en Grados D y E en Andalucía (deroga la Orden de 29 de septiembre de 2010).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Orden de 26 de septiembre de 2025: </w:t>
      </w:r>
      <w:r>
        <w:rPr>
          <w:rFonts w:ascii="Calibri" w:hAnsi="Calibri"/>
          <w:color w:val="1F2937"/>
          <w:sz w:val="20"/>
        </w:rPr>
        <w:t>Regula la organización y desarrollo de la fase de formación en empresa u organismo equiparado en los centros docentes andaluces.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Orden de 16 de junio de 2011: </w:t>
      </w:r>
      <w:r>
        <w:rPr>
          <w:rFonts w:ascii="Calibri" w:hAnsi="Calibri"/>
          <w:color w:val="1F2937"/>
          <w:sz w:val="20"/>
        </w:rPr>
        <w:t>Desarrolla el currículo del título de Técnico Superior en DAW en la Comunidad Autónoma de Andalucía.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Decreto 327/2010, de 13 de julio, y Orden de 20 de agosto de 2010: </w:t>
      </w:r>
      <w:r>
        <w:rPr>
          <w:rFonts w:ascii="Calibri" w:hAnsi="Calibri"/>
          <w:color w:val="1F2937"/>
          <w:sz w:val="20"/>
        </w:rPr>
        <w:t>Reglamento Orgánico de los IES y normas de organización y funcionamiento de centros docentes en Andalucía.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2.3 Normativa Específica de Accesibilidad, Propiedad Intelectual y Protección de Datos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Real Decreto 1112/2018, de 7 de septiembre (Accesibilidad Web): </w:t>
      </w:r>
      <w:r>
        <w:rPr>
          <w:rFonts w:ascii="Calibri" w:hAnsi="Calibri"/>
          <w:color w:val="1F2937"/>
          <w:sz w:val="20"/>
        </w:rPr>
        <w:t>Exige la accesibilidad de sitios web y aplicaciones móviles del sector público y servicios de interés general (trasposición de la Directiva UE 2016/2102).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Ley 11/2023, de 8 de mayo: </w:t>
      </w:r>
      <w:r>
        <w:rPr>
          <w:rFonts w:ascii="Calibri" w:hAnsi="Calibri"/>
          <w:color w:val="1F2937"/>
          <w:sz w:val="20"/>
        </w:rPr>
        <w:t>Trasposición de directivas europeas en materia de accesibilidad de determinados productos y servicios (Acta Europea de Accesibilidad).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Real Decreto Legislativo 1/1996 (Ley de Propiedad Intelectual - TRLPI): </w:t>
      </w:r>
      <w:r>
        <w:rPr>
          <w:rFonts w:ascii="Calibri" w:hAnsi="Calibri"/>
          <w:color w:val="1F2937"/>
          <w:sz w:val="20"/>
        </w:rPr>
        <w:t>Regula los derechos de autor, explotación de software, contenidos multimedia y licencias de distribución (Creative Commons, GPL, MIT, Apache).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Reglamento (UE) 2016/679 (RGPD) y Ley Orgánica 3/2018 (LOPDGDD): </w:t>
      </w:r>
      <w:r>
        <w:rPr>
          <w:rFonts w:ascii="Calibri" w:hAnsi="Calibri"/>
          <w:color w:val="1F2937"/>
          <w:sz w:val="20"/>
        </w:rPr>
        <w:t>Regulan la privacidad por diseño, el tratamiento lícito de datos y la garantía de derechos digitales en interfaces web y formularios.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3. CONTEXTO DEL GRUPO DE ALUMNADO (2º DAW)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El grupo de 2º curso de Desarrollo de Aplicaciones Web está compuesto por 9 alumnos/as procedentes de Martos y localidades adyacentes de la comarca (Torredelcampo, Fuensanta de Martos, Jaén capital):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Distribución etaria: </w:t>
      </w:r>
      <w:r>
        <w:rPr>
          <w:rFonts w:ascii="Calibri" w:hAnsi="Calibri"/>
          <w:color w:val="1F2937"/>
          <w:sz w:val="20"/>
        </w:rPr>
        <w:t>Edades comprendidas entre 18 y 31 años, con perfiles motivados y orientados a la inserción laboral inmediata o a la especialización técnica.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Trayectoria académica previa: </w:t>
      </w:r>
      <w:r>
        <w:rPr>
          <w:rFonts w:ascii="Calibri" w:hAnsi="Calibri"/>
          <w:color w:val="1F2937"/>
          <w:sz w:val="20"/>
        </w:rPr>
        <w:t>La mayor parte del grupo promocionó directamente desde 1º DAW con todos los módulos superados. Existen 2 alumnos repetidores: uno con dedicación exclusiva al módulo de proyecto y asignaturas pendientes con seguimiento individualizado; y otro en proceso de reincorporación.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Convalidaciones: </w:t>
      </w:r>
      <w:r>
        <w:rPr>
          <w:rFonts w:ascii="Calibri" w:hAnsi="Calibri"/>
          <w:color w:val="1F2937"/>
          <w:sz w:val="20"/>
        </w:rPr>
        <w:t>Dos alumnos cuentan con convalidación oficial del módulo de Itinerario Personal para la Empleabilidad II (IPE II).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Atención a la diversidad: </w:t>
      </w:r>
      <w:r>
        <w:rPr>
          <w:rFonts w:ascii="Calibri" w:hAnsi="Calibri"/>
          <w:color w:val="1F2937"/>
          <w:sz w:val="20"/>
        </w:rPr>
        <w:t>El grupo presenta un nivel competencial sólido pero heterogéneo en frontend. No se registran informes formales de NEAE en el expediente de orientación, si bien se aplican medidas preventivas de refuerzo y ampliación basadas en el Diseño Universal para el Aprendizaje (DUA).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4. OBJETIVOS GENERALES Y COMPETENCIAS DEL TÍTULO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De acuerdo con la Orden de 16 de junio de 2011 y el Real Decreto 687/2010, el módulo de Diseño de Interfaces Web contribuye directamente a los siguientes objetivos generales y competencias profesionales: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4.1 Objetivos Generales del Ciclo Vinculados al Módulo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i) Estándares y estilos: </w:t>
      </w:r>
      <w:r>
        <w:rPr>
          <w:rFonts w:ascii="Calibri" w:hAnsi="Calibri"/>
          <w:color w:val="1F2937"/>
          <w:sz w:val="20"/>
        </w:rPr>
        <w:t>Utilizar lenguajes de marcas y estándares web, asumiendo el manual de estilo, para desarrollar interfaces en aplicaciones web.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j) Componentes multimedia: </w:t>
      </w:r>
      <w:r>
        <w:rPr>
          <w:rFonts w:ascii="Calibri" w:hAnsi="Calibri"/>
          <w:color w:val="1F2937"/>
          <w:sz w:val="20"/>
        </w:rPr>
        <w:t>Emplear herramientas y lenguajes específicos, siguiendo las especificaciones, para desarrollar componentes multimedia.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k) Evaluación UX/UI: </w:t>
      </w:r>
      <w:r>
        <w:rPr>
          <w:rFonts w:ascii="Calibri" w:hAnsi="Calibri"/>
          <w:color w:val="1F2937"/>
          <w:sz w:val="20"/>
        </w:rPr>
        <w:t>Evaluar la interactividad, accesibilidad y usabilidad de una interfaz, verificando los criterios preestablecidos, para integrar componentes multimedia en la interfaz de una aplicación.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l) Integración de componentes: </w:t>
      </w:r>
      <w:r>
        <w:rPr>
          <w:rFonts w:ascii="Calibri" w:hAnsi="Calibri"/>
          <w:color w:val="1F2937"/>
          <w:sz w:val="20"/>
        </w:rPr>
        <w:t>Utilizar herramientas y lenguajes específicos para desarrollar e integrar componentes software en el entorno del servidor y cliente web.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ñ) Verificación y testing: </w:t>
      </w:r>
      <w:r>
        <w:rPr>
          <w:rFonts w:ascii="Calibri" w:hAnsi="Calibri"/>
          <w:color w:val="1F2937"/>
          <w:sz w:val="20"/>
        </w:rPr>
        <w:t>Verificar los componentes software desarrollados, analizando las especificaciones, para completar el plan de pruebas de la interfaz.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o) Documentación: </w:t>
      </w:r>
      <w:r>
        <w:rPr>
          <w:rFonts w:ascii="Calibri" w:hAnsi="Calibri"/>
          <w:color w:val="1F2937"/>
          <w:sz w:val="20"/>
        </w:rPr>
        <w:t>Utilizar herramientas específicas para elaborar y mantener la documentación técnica y guías de estilo.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y) Accesibilidad universal: </w:t>
      </w:r>
      <w:r>
        <w:rPr>
          <w:rFonts w:ascii="Calibri" w:hAnsi="Calibri"/>
          <w:color w:val="1F2937"/>
          <w:sz w:val="20"/>
        </w:rPr>
        <w:t>Identificar y proponer las acciones profesionales necesarias para dar respuesta a la accesibilidad universal y al diseño para todos.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4.2 Competencias Profesionales, Personales y Sociales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Competencia en maquetación y estilos: </w:t>
      </w:r>
      <w:r>
        <w:rPr>
          <w:rFonts w:ascii="Calibri" w:hAnsi="Calibri"/>
          <w:color w:val="1F2937"/>
          <w:sz w:val="20"/>
        </w:rPr>
        <w:t>Desarrollar interfaces en aplicaciones web de acuerdo con un manual de estilo, utilizando lenguajes de marcas y estándares web (g).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Competencia multimedia e interactiva: </w:t>
      </w:r>
      <w:r>
        <w:rPr>
          <w:rFonts w:ascii="Calibri" w:hAnsi="Calibri"/>
          <w:color w:val="1F2937"/>
          <w:sz w:val="20"/>
        </w:rPr>
        <w:t>Desarrollar e integrar componentes multimedia en la interfaz de una aplicación web, realizando el análisis de interactividad, accesibilidad y usabilidad (h, i).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Desarrollo frontend por componentes: </w:t>
      </w:r>
      <w:r>
        <w:rPr>
          <w:rFonts w:ascii="Calibri" w:hAnsi="Calibri"/>
          <w:color w:val="1F2937"/>
          <w:sz w:val="20"/>
        </w:rPr>
        <w:t>Desarrollar aplicaciones web estructuradas por componentes reutilizables, reactivas y orientadas al consumo de servicios y APIs (e, f, j, k, 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Calidad y verificación técnica: </w:t>
      </w:r>
      <w:r>
        <w:rPr>
          <w:rFonts w:ascii="Calibri" w:hAnsi="Calibri"/>
          <w:color w:val="1F2937"/>
          <w:sz w:val="20"/>
        </w:rPr>
        <w:t>Completar planes de pruebas de usabilidad, contraste y accesibilidad, y documentar técnicamente los sistemas de diseño (m, n).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5. RESULTADOS DE APRENDIZAJE Y CRITERIOS DE EVALUACIÓN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A continuación se detallan los 6 Resultados de Aprendizaje oficiales fijados por la Orden de 16 de junio de 2011 para el módulo de Diseño de Interfaces Web, junto con sus Criterios de Evaluación y el peso porcentual asignado a cada uno: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RA</w:t>
            </w:r>
          </w:p>
        </w:tc>
        <w:tc>
          <w:tcPr>
            <w:tcW w:type="dxa" w:w="3168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de Aprendizaje Oficial</w:t>
            </w:r>
          </w:p>
        </w:tc>
        <w:tc>
          <w:tcPr>
            <w:tcW w:type="dxa" w:w="4608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Criterios de Evaluación Oficiales (CE)</w:t>
            </w:r>
          </w:p>
        </w:tc>
        <w:tc>
          <w:tcPr>
            <w:tcW w:type="dxa" w:w="1008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Pond. Total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RA1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Planifica la creación de una interfaz web valorando y aplicando especificaciones de diseño.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a) Se ha reconocido la importancia de la comunicación visual y sus principios básicos.</w:t>
              <w:br/>
              <w:t>b) Se han analizado y seleccionado los colores y tipografías adecuados para pantalla.</w:t>
              <w:br/>
              <w:t>c) Se han analizado alternativas para la presentación de información web.</w:t>
              <w:br/>
              <w:t>d) Se ha valorado la importancia de definir y aplicar la guía de estilo.</w:t>
              <w:br/>
              <w:t>e) Se han utilizado y valorado distintas tecnologías para el diseño web.</w:t>
              <w:br/>
              <w:t>f) Se han creado y utilizado plantillas y prototipos de diseño.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12 %</w:t>
              <w:br/>
              <w:t>(2% / CE)</w:t>
            </w:r>
          </w:p>
        </w:tc>
      </w:tr>
      <w:tr>
        <w:tc>
          <w:tcPr>
            <w:tcW w:type="dxa" w:w="8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RA2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Crea interfaces web homogéneos definiendo y aplicando estilos.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a) Se han reconocido las posibilidades de modificar las etiquetas HTML.</w:t>
              <w:br/>
              <w:t>b) Se han definido estilos de forma directa.</w:t>
              <w:br/>
              <w:t>c) Se han definido y asociado estilos globales en hojas externas.</w:t>
              <w:br/>
              <w:t>d) Se han definido hojas de estilos alternativas.</w:t>
              <w:br/>
              <w:t>e) Se han redefinido estilos.</w:t>
              <w:br/>
              <w:t>f) Se han identificado las distintas propiedades de cada elemento.</w:t>
              <w:br/>
              <w:t>g) Se han creado clases y selectores de estilos.</w:t>
              <w:br/>
              <w:t>h) Se han utilizado herramientas de validación de hojas de estilos.</w:t>
              <w:br/>
              <w:t>i) Se han analizado y utilizado tecnologías y frameworks para diseño responsive.</w:t>
              <w:br/>
              <w:t>j) Se han analizado y utilizado preprocesadores de estilos (Sass/SCSS).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20 %</w:t>
              <w:br/>
              <w:t>(2% / CE)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RA3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Prepara archivos multimedia para la web, analizando sus características y manejando herramientas específicas.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a) Se han reconocido las implicaciones de licencias y derechos de autor.</w:t>
              <w:br/>
              <w:t>b) Se han identificado formatos de imagen, audio y vídeo a utilizar (WebP, AVIF, SVG).</w:t>
              <w:br/>
              <w:t>c) Se han analizado herramientas para generar contenido multimedia.</w:t>
              <w:br/>
              <w:t>d) Se han empleado herramientas para el tratamiento digital de la imagen.</w:t>
              <w:br/>
              <w:t>e) Se han utilizado herramientas para manipular audio y vídeo.</w:t>
              <w:br/>
              <w:t>f) Se han realizado animaciones a partir de imágenes fijas.</w:t>
              <w:br/>
              <w:t>g) Se han importado y exportado recursos multimedia en diversos formatos.</w:t>
              <w:br/>
              <w:t>h) Se ha aplicado la guía de estilo al material multimedia.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16 %</w:t>
              <w:br/>
              <w:t>(2% / CE)</w:t>
            </w:r>
          </w:p>
        </w:tc>
      </w:tr>
      <w:tr>
        <w:tc>
          <w:tcPr>
            <w:tcW w:type="dxa" w:w="8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RA4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Integra contenido multimedia en documentos web valorando su aportación y seleccionando adecuadamente los elementos interactivos.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a) Se han reconocido tecnologías de inclusión de contenido interactivo (2%).</w:t>
              <w:br/>
              <w:t>b) Se han configurado navegadores para contenido multimedia e interactivo (2%).</w:t>
              <w:br/>
              <w:t>c) Se han utilizado herramientas gráficas para contenido interactivo (4%).</w:t>
              <w:br/>
              <w:t>d) Se ha analizado el código generado por herramientas interactivas (4%).</w:t>
              <w:br/>
              <w:t>e) Se han agregado elementos multimedia a documentos web (4%).</w:t>
              <w:br/>
              <w:t>f) Se ha añadido interactividad a elementos web (4%).</w:t>
              <w:br/>
              <w:t>g) Se ha verificado el funcionamiento interactivo en múltiples dispositivos (4%).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24 %</w:t>
              <w:br/>
              <w:t>(Pond. diferenciada)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RA5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Desarrolla interfaces web accesibles, analizando las pautas establecidas y aplicando técnicas de verificación.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a) Se ha reconocido la necesidad de diseñar webs accesibles.</w:t>
              <w:br/>
              <w:t>b) Se ha analizado la accesibilidad de diferentes documentos web.</w:t>
              <w:br/>
              <w:t>c) Se han analizado los principios y pautas WCAG y niveles de conformidad.</w:t>
              <w:br/>
              <w:t>d) Se han analizado los posibles errores según prioridades de verificación.</w:t>
              <w:br/>
              <w:t>e) Se ha alcanzado el nivel de conformidad deseado (Nivel AA/AAA).</w:t>
              <w:br/>
              <w:t>f) Se han verificado los niveles mediante tests automatizados.</w:t>
              <w:br/>
              <w:t>g) Se ha verificado la visualización en múltiples navegadores y tecnologías asistivas.</w:t>
              <w:br/>
              <w:t>h) Se han utilizado herramientas que mejoren la visibilidad y accesibilidad (SEO/ARIA).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16 %</w:t>
              <w:br/>
              <w:t>(2% / CE)</w:t>
            </w:r>
          </w:p>
        </w:tc>
      </w:tr>
      <w:tr>
        <w:tc>
          <w:tcPr>
            <w:tcW w:type="dxa" w:w="8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RA6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Desarrolla interfaces web amigables analizando y aplicando las pautas de usabilidad establecidas.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a) Se ha analizado la usabilidad de diferentes documentos web.</w:t>
              <w:br/>
              <w:t>b) Se ha valorado la importancia de los estándares en la creación web.</w:t>
              <w:br/>
              <w:t>c) Se ha adecuado la interfaz web a los objetivos y usuarios destinatarios.</w:t>
              <w:br/>
              <w:t>d) Se ha verificado la facilidad de navegación mediante diversos periféricos.</w:t>
              <w:br/>
              <w:t>e) Se han analizado técnicas para verificar la usabilidad de un documento web.</w:t>
              <w:br/>
              <w:t>f) Se ha verificado la usabilidad en diferentes navegadores y dispositivos.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12 %</w:t>
              <w:br/>
              <w:t>(2% / CE)</w:t>
            </w:r>
          </w:p>
        </w:tc>
      </w:tr>
    </w:tbl>
    <w:p>
      <w:pPr>
        <w:spacing w:before="4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6. SECUENCIACIÓN DIDÁCTICA Y COMPAGINACIÓN CON LOS APUNTES DEL MÓDULO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Para dar una respuesta coherente y estructurada a los 6 Resultados de Aprendizaje y aprovechar al máximo los 23 documentos de apuntes preparados en la carpeta docs/, los contenidos se secuencian en 6 Unidades de Trabajo (UT) agrupadas temporalmente en los dos trimestres lectivos en centro educativo (previos a la fase intensiva de formación en empresa):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6.1 TRIMESTRE 1 · UT 1: Fundamentos de UI/UX, Psicología del Diseño, Color, Tipografía, Sistemas de Diseño y Prototipado en Figma (30 horas)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Esta unidad aborda las bases de la comunicación visual, los modelos mentales del usuario, la arquitectura de la información y la creación de prototipos profesionales de alta fidelidad.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Contenidos Teóricos: </w:t>
      </w:r>
      <w:r>
        <w:rPr>
          <w:rFonts w:ascii="Calibri" w:hAnsi="Calibri"/>
          <w:color w:val="1F2937"/>
          <w:sz w:val="20"/>
        </w:rPr>
        <w:t>Percepción visual y psicología cognitiva: Leyes de Gestalt (proximidad, semejanza, continuidad, cierre, figura-fondo). Leyes de UX: Ley de Fitts, Ley de Hick, Ley de Miller, Ley de Jakob y Efecto de Estética-Usabilidad. Carga cognitiva y modelos mentales.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Color y Tipografía: </w:t>
      </w:r>
      <w:r>
        <w:rPr>
          <w:rFonts w:ascii="Calibri" w:hAnsi="Calibri"/>
          <w:color w:val="1F2937"/>
          <w:sz w:val="20"/>
        </w:rPr>
        <w:t>Teoría del color en pantallas: Espacios de color (RGB, HSL, HWB, Oklch), psicología del color, armonías, ratios de contraste WCAG (4.5:1 para texto normal, 3:1 para texto grande/componentes). Tipografía web: anatomía, familias tipográficas, escalas modulares (Type Scale), jerarquía visual, legibilidad (leading, tracking, line-length) y fuentes variables (Variable Fonts).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Design Systems: </w:t>
      </w:r>
      <w:r>
        <w:rPr>
          <w:rFonts w:ascii="Calibri" w:hAnsi="Calibri"/>
          <w:color w:val="1F2937"/>
          <w:sz w:val="20"/>
        </w:rPr>
        <w:t>Guías de estilo y Design Systems: Metodología Atomic Design (átomos, moléculas, organismos, plantillas, páginas). Design Tokens (colores, espaciados, tipografías, elevaciones) y documentación en Storybook/Zeroheight.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Herramientas de Prototipado: </w:t>
      </w:r>
      <w:r>
        <w:rPr>
          <w:rFonts w:ascii="Calibri" w:hAnsi="Calibri"/>
          <w:color w:val="1F2937"/>
          <w:sz w:val="20"/>
        </w:rPr>
        <w:t>Figma profesional: Creación de Frames, Layout Grids, Auto Layout avanzado con flexión y wrap, componentes reutilizables, variantes (Variants y Component Properties), constraints responsivos, variables de diseño, prototipado interactivo con animaciones Smart Animate y exportación de assets para desarrollo.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Arquitectura de Información: </w:t>
      </w:r>
      <w:r>
        <w:rPr>
          <w:rFonts w:ascii="Calibri" w:hAnsi="Calibri"/>
          <w:color w:val="1F2937"/>
          <w:sz w:val="20"/>
        </w:rPr>
        <w:t>Arquitectura de la Información (AI): Jerarquía de contenidos, árboles de navegación, flujos de usuario (User Flows), técnicas de Card Sorting (abierto/cerrado) y diseño de Wireframes (baja, media y alta fidelidad).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Materiales vinculados en docs/: </w:t>
      </w:r>
      <w:r>
        <w:rPr>
          <w:rFonts w:ascii="Calibri" w:hAnsi="Calibri"/>
          <w:color w:val="1F2937"/>
          <w:sz w:val="20"/>
        </w:rPr>
        <w:t>docs/index.md (Unidad 1: Introducción al Diseño de Interfaces Web).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docs/02-psicologia-diseno.md (Psicología Cognitiva y Leyes UX).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docs/03-color-tipografia.md (Teoría del Color, Contraste y Tipografía Web).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docs/04-guias-estilo-design-systems.md (Design Systems y Atomic Design).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docs/05-figma-profesional.md (Figma Avanzado, Auto Layout y Prototipado).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docs/06-arquitectura-informacion.md (Arquitectura de Información y Wireframes).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66534"/>
                <w:sz w:val="20"/>
              </w:rPr>
              <w:t>📌 Proyecto / Tarea Práctica Bloque 1</w:t>
              <w:br/>
            </w:r>
            <w:r>
              <w:rPr>
                <w:rFonts w:ascii="Calibri" w:hAnsi="Calibri"/>
                <w:color w:val="1F2937"/>
                <w:sz w:val="19"/>
              </w:rPr>
              <w:t>• Tarea Integradora UT1: Creación completa del Sistema de Diseño y Prototipo Interactivo de Alta Fidelidad en Figma para una aplicación web (incluyendo Design Tokens, componentes con variantes, Auto Layout y flujo de navegación navegable).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RAs y Criterios Evaluados: RA1 (a, b, c, d, e, f) y RA6 (b, c).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6.2 TRIMESTRE 1 · UT 2: Maquetación Web Profesional: HTML5 Semántico, CSS Avanzado, Flexbox, Grid y Responsive Design (35 horas)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Esta unidad transforma las especificaciones de diseño en código web robusto, modular, semántico y perfectamente adaptado a cualquier dispositivo y resolución.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HTML5 Semántico: </w:t>
      </w:r>
      <w:r>
        <w:rPr>
          <w:rFonts w:ascii="Calibri" w:hAnsi="Calibri"/>
          <w:color w:val="1F2937"/>
          <w:sz w:val="20"/>
        </w:rPr>
        <w:t>HTML5 Semántico: Estructura de documentos (&lt;header&gt;, &lt;nav&gt;, &lt;main&gt;, &lt;article&gt;, &lt;section&gt;, &lt;aside&gt;, &lt;footer&gt;), elementos de texto, formularios accesibles, metadatos, Open Graph y microdatos Schema.org para SEO técnico.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CSS Moderno: </w:t>
      </w:r>
      <w:r>
        <w:rPr>
          <w:rFonts w:ascii="Calibri" w:hAnsi="Calibri"/>
          <w:color w:val="1F2937"/>
          <w:sz w:val="20"/>
        </w:rPr>
        <w:t>CSS Profesional: Modelo de caja (Box Model, box-sizing), flujo normal, posicionamiento, cascada, especificidad, herencia y capas de cascada (@layer). Variables CSS nativas (Custom Properties) para temas dinámicos (Dark/Light mode). Metodologías de arquitectura CSS (BEM - Block Element Modifier, ITCSS).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Flexbox: </w:t>
      </w:r>
      <w:r>
        <w:rPr>
          <w:rFonts w:ascii="Calibri" w:hAnsi="Calibri"/>
          <w:color w:val="1F2937"/>
          <w:sz w:val="20"/>
        </w:rPr>
        <w:t>Maquetación Unidimensional con Flexbox: Flex container, flex items, ejes principal y cruzado (justify-content, align-items, align-content), flex-grow, flex-shrink, flex-basis y alineaciones dinámicas.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CSS Grid: </w:t>
      </w:r>
      <w:r>
        <w:rPr>
          <w:rFonts w:ascii="Calibri" w:hAnsi="Calibri"/>
          <w:color w:val="1F2937"/>
          <w:sz w:val="20"/>
        </w:rPr>
        <w:t>Maquetación Bidimensional con CSS Grid Layout: Grid container, pistas explícitas e implícitas, grid-template-columns/rows, fr units, minmax(), repeat(), auto-fill vs auto-fit, grid-template-areas y alineación de áreas complejas.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Responsive Design: </w:t>
      </w:r>
      <w:r>
        <w:rPr>
          <w:rFonts w:ascii="Calibri" w:hAnsi="Calibri"/>
          <w:color w:val="1F2937"/>
          <w:sz w:val="20"/>
        </w:rPr>
        <w:t>Responsive Web Design: Estrategia Mobile-First, Viewport meta tag, Media Queries modernas (range syntax), Container Queries (@container) para componentes intrínsecamente adaptables, e imágenes responsivas (&lt;picture&gt;, srcset, sizes).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Sass y Tailwind CSS: </w:t>
      </w:r>
      <w:r>
        <w:rPr>
          <w:rFonts w:ascii="Calibri" w:hAnsi="Calibri"/>
          <w:color w:val="1F2937"/>
          <w:sz w:val="20"/>
        </w:rPr>
        <w:t>Preprocesadores y Frameworks CSS: Preprocesadores Sass/SCSS (variables, nesting, mixins, funciones, modularización con @use y @forward). Frameworks CSS Utility-First: Tailwind CSS 4 (configuración moderna, directivas @theme, utilidades de espaciado, tipografía y responsive design).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Materiales vinculados en docs/: </w:t>
      </w:r>
      <w:r>
        <w:rPr>
          <w:rFonts w:ascii="Calibri" w:hAnsi="Calibri"/>
          <w:color w:val="1F2937"/>
          <w:sz w:val="20"/>
        </w:rPr>
        <w:t>docs/07-html-semantico.md (HTML5 Semántico, Accesibilidad y SEO).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docs/08-css-profesional.md (CSS Profesional, Cascada y Metodología BEM).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docs/09-flexbox.md (Flexbox - Maquetación Unidimensional).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docs/10-css-grid-layout.md (CSS Grid Layout y Áreas).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docs/11-responsive-design.md (Diseño Responsive, Mobile First y Container Queries).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docs/17-tailwindcss4.md (Tailwind CSS 4 - Fundamentos y Práctica).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docs/18-preprocesadores-css.md (Preprocesadores CSS - SASS/SCSS y LESS).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66534"/>
                <w:sz w:val="20"/>
              </w:rPr>
              <w:t>📌 Proyecto / Tarea Práctica Bloque 2</w:t>
              <w:br/>
            </w:r>
            <w:r>
              <w:rPr>
                <w:rFonts w:ascii="Calibri" w:hAnsi="Calibri"/>
                <w:color w:val="1F2937"/>
                <w:sz w:val="19"/>
              </w:rPr>
              <w:t>• Tarea Integradora UT2: Maquetación web completa y responsive de una interfaz web compleja a partir de un diseño en Figma, utilizando HTML5 semántico, CSS Grid + Flexbox, Custom Properties, preprocesador Sass y maquetación alternativa con Tailwind CSS 4.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RAs y Criterios Evaluados: RA2 (a, b, c, d, e, f, g, h, i, j).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6.3 TRIMESTRE 1 / 2 · UT 3: Multimedia Web, Optimización de Activos, Derechos de Autor y Licencias (20 horas)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Esta unidad capacita para la preparación, procesamiento, compresión e integración técnica de recursos multimedia en la web, así como para la gestión ética y legal de contenidos digitales.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Formatos y Optimización de Imagen: </w:t>
      </w:r>
      <w:r>
        <w:rPr>
          <w:rFonts w:ascii="Calibri" w:hAnsi="Calibri"/>
          <w:color w:val="1F2937"/>
          <w:sz w:val="20"/>
        </w:rPr>
        <w:t>Formatos de imagen para la web: Mapas de bits (JPEG, PNG, WebP, AVIF) vs gráficos vectoriales (SVG). Estructura del SVG: viewBox, paths, optimización con SVGO y manipulación con CSS/JS. Técnicas de compresión con y sin pérdidas. Lazy loading nativo (loading='lazy').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Audio y Vídeo: </w:t>
      </w:r>
      <w:r>
        <w:rPr>
          <w:rFonts w:ascii="Calibri" w:hAnsi="Calibri"/>
          <w:color w:val="1F2937"/>
          <w:sz w:val="20"/>
        </w:rPr>
        <w:t>Audio y Vídeo HTML5: Contenedores y códecs (MP4/H.264, WebM/VP9, AV1, MP3, AAC, Ogg). Etiquetas &lt;audio&gt; y &lt;video&gt;, atributos (controls, autoplay, muted, loop, playsinline). Pistas de texto y subtítulos sincronizados con formato WebVTT (&lt;track&gt; kind='subtitles/captions') para accesibilidad.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Marco Legal y Licencias: </w:t>
      </w:r>
      <w:r>
        <w:rPr>
          <w:rFonts w:ascii="Calibri" w:hAnsi="Calibri"/>
          <w:color w:val="1F2937"/>
          <w:sz w:val="20"/>
        </w:rPr>
        <w:t>Marco Legal y Propiedad Intelectual: Real Decreto Legislativo 1/1996 (TRLPI), derechos morales y patrimoniales. Licencias Creative Commons (CC BY, SA, NC, ND, CC0/Dominio Público). Licencias de software libre y código abierto (MIT, Apache 2.0, GPL, BSD). Banco de recursos multimedia libres (Unsplash, Freepik, Google Fonts). Privacidad y derechos de imagen en la web.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Materiales vinculados en docs/: </w:t>
      </w:r>
      <w:r>
        <w:rPr>
          <w:rFonts w:ascii="Calibri" w:hAnsi="Calibri"/>
          <w:color w:val="1F2937"/>
          <w:sz w:val="20"/>
        </w:rPr>
        <w:t>docs/12-multimedia-web.md (Integración de Contenido Multimedia en la Web).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docs/19-marco-legal-multimedia.md (Marco Legal Multimedia, Derechos de Autor y Licencias).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66534"/>
                <w:sz w:val="20"/>
              </w:rPr>
              <w:t>📌 Proyecto / Tarea Práctica Bloque 3</w:t>
              <w:br/>
            </w:r>
            <w:r>
              <w:rPr>
                <w:rFonts w:ascii="Calibri" w:hAnsi="Calibri"/>
                <w:color w:val="1F2937"/>
                <w:sz w:val="19"/>
              </w:rPr>
              <w:t>• Tarea Integradora UT3: Creación de un catálogo multimedia optimizado con imágenes responsivas en formato AVIF/WebP, iconos SVG interactivos accesibles y reproductor de vídeo accesible con subtítulos WebVTT y auditoría de licencias legales.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RAs y Criterios Evaluados: RA3 (a, b, c, d, e, f, g, h).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6.4 TRIMESTRE 2 · UT 4: Interactividad, Animaciones y Desarrollo Frontend por Componentes con Framework (Angular) (55 horas)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Esta unidad profundiza en la interactividad web avanzada y en la arquitectura de aplicaciones SPA (Single Page Applications) construidas mediante el framework Angular.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Animaciones e Interactividad: </w:t>
      </w:r>
      <w:r>
        <w:rPr>
          <w:rFonts w:ascii="Calibri" w:hAnsi="Calibri"/>
          <w:color w:val="1F2937"/>
          <w:sz w:val="20"/>
        </w:rPr>
        <w:t>Interactividad y Microinteracciones CSS/JS: Transiciones CSS (timing functions, bezier curves), animaciones con @keyframes, transformaciones 2D/3D. Manipulación del DOM mediante JavaScript moderno, eventos de ratón, teclado, touch y scroll. Web Animations API.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Angular - Componentes: </w:t>
      </w:r>
      <w:r>
        <w:rPr>
          <w:rFonts w:ascii="Calibri" w:hAnsi="Calibri"/>
          <w:color w:val="1F2937"/>
          <w:sz w:val="20"/>
        </w:rPr>
        <w:t>Introducción a Angular y Componentes Standalone: Arquitectura del framework, Angular CLI, TypeScript para frontend, estructura de componentes Standalone (imports, selector, templateUrl, styleUrl), ciclo de vida del componente (ngOnInit, ngOnDestroy).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Data Binding y Signals: </w:t>
      </w:r>
      <w:r>
        <w:rPr>
          <w:rFonts w:ascii="Calibri" w:hAnsi="Calibri"/>
          <w:color w:val="1F2937"/>
          <w:sz w:val="20"/>
        </w:rPr>
        <w:t>Data Binding y Control de Flujo: Interpolación {{ }}, Property Binding [ ], Event Binding ( ), Two-way Binding [(ngModel)]. Nuevas directivas de control de flujo en templates (@if, @else, @for con track, @switch). Signals de Angular para reactividad moderna. Pipes nativos y personalizados.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Servicios y HttpClient: </w:t>
      </w:r>
      <w:r>
        <w:rPr>
          <w:rFonts w:ascii="Calibri" w:hAnsi="Calibri"/>
          <w:color w:val="1F2937"/>
          <w:sz w:val="20"/>
        </w:rPr>
        <w:t>Servicios, Inyección de Dependencias y Consumo de APIs: Inyección de dependencias (@Injectable, providedIn: 'root'), HttpClientModule / provideHttpClient(), programación reactiva con RxJS (Observables, operadores map, filter, catchError), consumo de APIs REST y manejo de estados de carga/error en UI.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Routing y Formularios: </w:t>
      </w:r>
      <w:r>
        <w:rPr>
          <w:rFonts w:ascii="Calibri" w:hAnsi="Calibri"/>
          <w:color w:val="1F2937"/>
          <w:sz w:val="20"/>
        </w:rPr>
        <w:t>Enrutamiento y Formularios Reactivos: Angular Router (RouterModule, rutas, parámetros, rutas hijas, Lazy Loading de componentes, Guards). Formularios Reactivos (ReactiveFormsModule, FormGroup, FormControl, FormBuilder), validaciones sincrónicas y asincrónicas, y retroalimentación visual de errores en UI.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Materiales vinculados en docs/: </w:t>
      </w:r>
      <w:r>
        <w:rPr>
          <w:rFonts w:ascii="Calibri" w:hAnsi="Calibri"/>
          <w:color w:val="1F2937"/>
          <w:sz w:val="20"/>
        </w:rPr>
        <w:t>docs/13-interactividad-web.md (Interactividad Web, Transiciones y Animaciones).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docs/20-angular-introduccion.md (Angular - Introducción y Primeros Componentes).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docs/21-angular-componentes-datos.md (Angular - Data Binding, Directivas y Signals).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docs/22-angular-servicios-httpclient.md (Angular - Servicios, HttpClient y RxJS).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docs/23-angular-routing-formularios.md (Angular - Enrutamiento y Formularios Reactivos).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66534"/>
                <w:sz w:val="20"/>
              </w:rPr>
              <w:t>📌 Proyecto / Tarea Práctica Bloque 4</w:t>
              <w:br/>
            </w:r>
            <w:r>
              <w:rPr>
                <w:rFonts w:ascii="Calibri" w:hAnsi="Calibri"/>
                <w:color w:val="1F2937"/>
                <w:sz w:val="19"/>
              </w:rPr>
              <w:t>• Proyecto Integrador Frontend (Angular): Desarrollo de una Single Page Application (SPA) completa en Angular compuesta por múltiples componentes Standalone, navegación mediante Angular Router, consumo de servicios API REST remotos con HttpClient, microinteracciones visuales y formularios reactivos con validación en tiempo real.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RAs y Criterios Evaluados: RA4 (a, b, c, d, e, f, g) y RA2 (i).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6.5 TRIMESTRE 2 · UT 5: Accesibilidad Web Universal (WCAG 2.1/2.2, WAI-ARIA) y Validación Técnica (20 horas)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Esta unidad capacita para asegurar que las aplicaciones web sean plenamente utilizables por todas las personas, incluidas aquellas con discapacidades visuales, auditivas, motrices o cognitivas.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Principios WCAG: </w:t>
      </w:r>
      <w:r>
        <w:rPr>
          <w:rFonts w:ascii="Calibri" w:hAnsi="Calibri"/>
          <w:color w:val="1F2937"/>
          <w:sz w:val="20"/>
        </w:rPr>
        <w:t>Fundamentos y Principios de Accesibilidad: Consorcio W3C, Iniciativa de Accesibilidad Web (WAI). Principios WCAG (POUR: Perceptible, Operable, Comprensible, Robusto). Niveles de conformidad: A, AA y AAA.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Pautas de Verificación: </w:t>
      </w:r>
      <w:r>
        <w:rPr>
          <w:rFonts w:ascii="Calibri" w:hAnsi="Calibri"/>
          <w:color w:val="1F2937"/>
          <w:sz w:val="20"/>
        </w:rPr>
        <w:t>Criterios de Éxito y Puntos de Verificación: Texto alternativo (alt), contraste de color, redimensionamiento de texto, navegación por teclado completa sin trampas de foco, indicadores de foco visibles, tiempo suficiente, encabezados lógicos, etiquetas de formulario y gestión de errores.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WAI-ARIA: </w:t>
      </w:r>
      <w:r>
        <w:rPr>
          <w:rFonts w:ascii="Calibri" w:hAnsi="Calibri"/>
          <w:color w:val="1F2937"/>
          <w:sz w:val="20"/>
        </w:rPr>
        <w:t>WAI-ARIA (Accessible Rich Internet Applications): Roles (role='banner', 'navigation', 'alert', 'dialog'), estados y propiedades (aria-expanded, aria-hidden, aria-live, aria-describedby, aria-label) para enriquecer componentes dinámicos de Angular/JS.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Auditoría de Accesibilidad: </w:t>
      </w:r>
      <w:r>
        <w:rPr>
          <w:rFonts w:ascii="Calibri" w:hAnsi="Calibri"/>
          <w:color w:val="1F2937"/>
          <w:sz w:val="20"/>
        </w:rPr>
        <w:t>Técnicas y Herramientas de Verificación: Auditorías automatizadas (axe DevTools, Lighthouse Accessibility, WAVE, Colour Contrast Analyser). Pruebas manuales con lectores de pantalla (NVDA en Windows, VoiceOver en macOS/iOS). Marco legal: Real Decreto 1112/2018 y Ley 11/2023.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Materiales vinculados en docs/: </w:t>
      </w:r>
      <w:r>
        <w:rPr>
          <w:rFonts w:ascii="Calibri" w:hAnsi="Calibri"/>
          <w:color w:val="1F2937"/>
          <w:sz w:val="20"/>
        </w:rPr>
        <w:t>docs/14-accesibilidad-web.md (Accesibilidad Web, WCAG 2.2, WAI-ARIA y Auditorías).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docs/07-html-semantico.md (Landmarks semánticos y accesibilidad).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66534"/>
                <w:sz w:val="20"/>
              </w:rPr>
              <w:t>📌 Proyecto / Tarea Práctica Bloque 5</w:t>
              <w:br/>
            </w:r>
            <w:r>
              <w:rPr>
                <w:rFonts w:ascii="Calibri" w:hAnsi="Calibri"/>
                <w:color w:val="1F2937"/>
                <w:sz w:val="19"/>
              </w:rPr>
              <w:t>• Tarea Integradora UT5: Auditoría técnica y remediación de accesibilidad de una aplicación web real, alcanzando la conformidad WCAG 2.2 Nivel AA, aplicando WAI-ARIA en componentes interactivos y redactando un informe de conformidad formal según el RD 1112/2018.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RAs y Criterios Evaluados: RA5 (a, b, c, d, e, f, g, h).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6.6 TRIMESTRE 2 · UT 6: Usabilidad Web, Métricas UX, Heurísticas y Diseño Centrado en el Usuario (DCU) (15 horas)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Esta unidad analiza la eficacia, eficiencia y satisfacción del usuario final con la interfaz mediante metodologías formales de evaluación y pruebas de usuario.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Heurísticas de Nielsen: </w:t>
      </w:r>
      <w:r>
        <w:rPr>
          <w:rFonts w:ascii="Calibri" w:hAnsi="Calibri"/>
          <w:color w:val="1F2937"/>
          <w:sz w:val="20"/>
        </w:rPr>
        <w:t>Principios de Usabilidad y Evaluación Heurística: Las 10 Heurísticas de Usabilidad de Jakob Nielsen (visibilidad del estado del sistema, correspondencia con el mundo real, control y libertad del usuario, consistencia y estándares, prevención de errores, reconocimiento antes que recuerdo, flexibilidad, estética minimalista, diagnóstico de errores y ayuda).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Métricas UX y Rendimiento: </w:t>
      </w:r>
      <w:r>
        <w:rPr>
          <w:rFonts w:ascii="Calibri" w:hAnsi="Calibri"/>
          <w:color w:val="1F2937"/>
          <w:sz w:val="20"/>
        </w:rPr>
        <w:t>Métricas de Rendimiento y Experiencia de Usuario: System Usability Scale (SUS), Net Promoter Score (NPS), tasa de éxito de tareas, tiempo en tarea y Core Web Vitals de Google (LCP - Largest Contentful Paint, INP - Interaction to Next Paint, CLS - Cumulative Layout Shift).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Diseño Centrado en Usuario: </w:t>
      </w:r>
      <w:r>
        <w:rPr>
          <w:rFonts w:ascii="Calibri" w:hAnsi="Calibri"/>
          <w:color w:val="1F2937"/>
          <w:sz w:val="20"/>
        </w:rPr>
        <w:t>Metodología de Diseño Centrado en el Usuario (DCU / Design Thinking): Etapas de Empatizar (User Personas, Empathy Maps), Definir (User Journey Maps), Idear, Prototipar y Testear. Conducción de pruebas de usabilidad con usuarios reales, protocolos 'Think Aloud' y matrices de hallazgos.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Materiales vinculados en docs/: </w:t>
      </w:r>
      <w:r>
        <w:rPr>
          <w:rFonts w:ascii="Calibri" w:hAnsi="Calibri"/>
          <w:color w:val="1F2937"/>
          <w:sz w:val="20"/>
        </w:rPr>
        <w:t>docs/15-usabilidad-web.md (Usabilidad Web, Heurísticas de Nielsen y Pruebas).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docs/16-diseno-centrado-usuario.md (Diseño Centrado en el Usuario y Design Thinking).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66534"/>
                <w:sz w:val="20"/>
              </w:rPr>
              <w:t>📌 Proyecto / Tarea Práctica Bloque 6</w:t>
              <w:br/>
            </w:r>
            <w:r>
              <w:rPr>
                <w:rFonts w:ascii="Calibri" w:hAnsi="Calibri"/>
                <w:color w:val="1F2937"/>
                <w:sz w:val="19"/>
              </w:rPr>
              <w:t>• Tarea Integradora UT6: Evaluación heurística y test de usabilidad con usuarios de una aplicación web, medición de puntuación SUS y Core Web Vitals, y propuesta justificada de rediseño de interfaz.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RAs y Criterios Evaluados: RA6 (a, b, c, d, e, f).</w:t>
            </w:r>
          </w:p>
        </w:tc>
      </w:tr>
    </w:tbl>
    <w:p>
      <w:pPr>
        <w:spacing w:before="4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7. METODOLOGÍA DIDÁCTICA Y PRINCIPIOS PEDAGÓGICOS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La metodología de enseñanza-aprendizaje en el aula de 2º DAW se basa en los principios de aprendizaje significativo, aprendizaje constructivista y desarrollo orientado a proyectos reales: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Aprendizaje Basado en Proyectos (ABP): </w:t>
      </w:r>
      <w:r>
        <w:rPr>
          <w:rFonts w:ascii="Calibri" w:hAnsi="Calibri"/>
          <w:color w:val="1F2937"/>
          <w:sz w:val="20"/>
        </w:rPr>
        <w:t>Se simulan dinámicas de trabajo reales de agencias frontend: desde la fase de ideación y prototipado en Figma, pasando por el maquetado CSS profesional, hasta el desarrollo de componentes SPA en Angular y la auditoría final de accesibilidad.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Enfoque Práctico (Learning by Doing): </w:t>
      </w:r>
      <w:r>
        <w:rPr>
          <w:rFonts w:ascii="Calibri" w:hAnsi="Calibri"/>
          <w:color w:val="1F2937"/>
          <w:sz w:val="20"/>
        </w:rPr>
        <w:t>Todas las sesiones en el aula de informática combinan explicaciones conceptuales breves con la inmediata codificación práctica en el editor de código (Visual Studio Code, Figma, navegadores con DevTools).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Cultura de Desarrollo Profesional: </w:t>
      </w:r>
      <w:r>
        <w:rPr>
          <w:rFonts w:ascii="Calibri" w:hAnsi="Calibri"/>
          <w:color w:val="1F2937"/>
          <w:sz w:val="20"/>
        </w:rPr>
        <w:t>Se promueve el uso de control de versiones con Git/GitHub, la modularidad mediante componentes y la aplicación de buenas prácticas (código limpio, semántico, accesible y performante).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Entorno Virtual de Aprendizaje: </w:t>
      </w:r>
      <w:r>
        <w:rPr>
          <w:rFonts w:ascii="Calibri" w:hAnsi="Calibri"/>
          <w:color w:val="1F2937"/>
          <w:sz w:val="20"/>
        </w:rPr>
        <w:t>Plataforma Moodle Centros / Google Classroom como entorno de gestión de contenidos, entrega de prácticas, cuestionarios técnicos y comunicación telemática continua.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8. EVALUACIÓN, INSTRUMENTOS Y CRITERIOS DE CALIFICACIÓN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De acuerdo con el Decreto 104/2024, de 28 de mayo, y la Orden de 18 de septiembre de 2025 de la Junta de Andalucía, la evaluación en Formación Profesional es continua, formativa, criterial e integradora.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8.1 Instrumentos y Procedimientos de Evaluación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1. Prácticas y Tareas de Laboratorio de cada Unidad (40%): </w:t>
      </w:r>
      <w:r>
        <w:rPr>
          <w:rFonts w:ascii="Calibri" w:hAnsi="Calibri"/>
          <w:color w:val="1F2937"/>
          <w:sz w:val="20"/>
        </w:rPr>
        <w:t>Prácticas de maquetación, ejercicios de Figma, componentes interactivos y auditorías realizadas durante las sesiones de aula (40% de la calificación del periodo).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2. Proyecto Web Frontend Integrador y Defensa Oral (40%): </w:t>
      </w:r>
      <w:r>
        <w:rPr>
          <w:rFonts w:ascii="Calibri" w:hAnsi="Calibri"/>
          <w:color w:val="1F2937"/>
          <w:sz w:val="20"/>
        </w:rPr>
        <w:t>Desarrollo de un proyecto web completo que aglutina el diseño en Figma, maquetación responsive, integración multimedia, desarrollo de componentes Angular y verificación de accesibilidad, incluyendo defensa oral individual (40% de la calificación).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3. Pruebas Objetivas y Supuestos Prácticos (20%): </w:t>
      </w:r>
      <w:r>
        <w:rPr>
          <w:rFonts w:ascii="Calibri" w:hAnsi="Calibri"/>
          <w:color w:val="1F2937"/>
          <w:sz w:val="20"/>
        </w:rPr>
        <w:t>Pruebas escritas y ejercicios prácticos de desarrollo en tiempo limitado para comprobar la adquisición autónoma y rigurosa de los criterios de evaluación (20% de la calificación).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8.2 Criterios de Calificación y Superación del Módulo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Evaluaciones Parciales: </w:t>
      </w:r>
      <w:r>
        <w:rPr>
          <w:rFonts w:ascii="Calibri" w:hAnsi="Calibri"/>
          <w:color w:val="1F2937"/>
          <w:sz w:val="20"/>
        </w:rPr>
        <w:t>La calificación de cada evaluación parcial reflejará el grado de consecución ponderado de los Criterios de Evaluación trabajados hasta esa fecha.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Superación Criterial Obligatoria: </w:t>
      </w:r>
      <w:r>
        <w:rPr>
          <w:rFonts w:ascii="Calibri" w:hAnsi="Calibri"/>
          <w:color w:val="1F2937"/>
          <w:sz w:val="20"/>
        </w:rPr>
        <w:t>Para superar el módulo profesional, es imprescindible que la media ponderada de los Criterios de Evaluación de cada uno de los 6 Resultados de Aprendizaje (RA1 a RA6) sea igual o superior a 5,0 puntos sobre 10.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Calificación Final Ordinaria: </w:t>
      </w:r>
      <w:r>
        <w:rPr>
          <w:rFonts w:ascii="Calibri" w:hAnsi="Calibri"/>
          <w:color w:val="1F2937"/>
          <w:sz w:val="20"/>
        </w:rPr>
        <w:t>La nota final del módulo en la evaluación final ordinaria será la media aritmética ponderada de todos los criterios evaluados, redondeada a número entero de 1 a 10.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8.3 Procedimientos de Recuperación Continua y Extraordinaria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Recuperación Continua: </w:t>
      </w:r>
      <w:r>
        <w:rPr>
          <w:rFonts w:ascii="Calibri" w:hAnsi="Calibri"/>
          <w:color w:val="1F2937"/>
          <w:sz w:val="20"/>
        </w:rPr>
        <w:t>El alumnado que no alcance la calificación mínima en las prácticas o proyectos dispondrá de actividades de refuerzo y reentrega corregida con defensa individual antes de la sesión de evaluación ordinaria.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Convocatoria Extraordinaria: </w:t>
      </w:r>
      <w:r>
        <w:rPr>
          <w:rFonts w:ascii="Calibri" w:hAnsi="Calibri"/>
          <w:color w:val="1F2937"/>
          <w:sz w:val="20"/>
        </w:rPr>
        <w:t>En caso de no superar el módulo en la convocatoria ordinaria de mayo, el alumnado realizará una prueba práctica extraordinaria en junio centrada exclusivamente en los Resultados de Aprendizaje no superados.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9. FORMACIÓN EN EMPRESA U ORGANISMO EQUIPARADO (RÉGIMEN DUAL EN 2º DAW)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En cumplimiento de la Ley Orgánica 3/2022, el Real Decreto 659/2023, el Decreto 104/2024 y la Orden de 26 de septiembre de 2025 de la Junta de Andalucía, el ciclo de DAW se imparte en modalidad dual general: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En el segundo curso, el alumnado realiza un total de 400 horas de formación en empresas tecnológicas colaboradoras (50 jornadas laborales de 8 horas), distribuidas entre los módulos formativos de segundo curso según el plan de formación del centro: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3888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Módulo Profesional</w:t>
            </w:r>
          </w:p>
        </w:tc>
        <w:tc>
          <w:tcPr>
            <w:tcW w:type="dxa" w:w="1728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Horas Totales</w:t>
            </w:r>
          </w:p>
        </w:tc>
        <w:tc>
          <w:tcPr>
            <w:tcW w:type="dxa" w:w="1872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Horas en Centro</w:t>
            </w:r>
          </w:p>
        </w:tc>
        <w:tc>
          <w:tcPr>
            <w:tcW w:type="dxa" w:w="2160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Horas en Empresa (Dual)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Desarrollo Web en Entorno Servidor (DWES)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245 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145 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100 h</w:t>
            </w:r>
          </w:p>
        </w:tc>
      </w:tr>
      <w:tr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Desarrollo Web en Entorno Cliente (DWEC)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210 h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124 h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86 h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Diseño de Interfaces Web (DIW)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175 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104 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71 h</w:t>
            </w:r>
          </w:p>
        </w:tc>
      </w:tr>
      <w:tr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Despliegue de Aplicaciones Web (DAW)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70 h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41 h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29 h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Módulo Optativo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105 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62 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43 h</w:t>
            </w:r>
          </w:p>
        </w:tc>
      </w:tr>
      <w:tr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Inglés Profesional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70 h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41 h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29 h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Itinerario Personal para la Empleabilidad II (IPE II)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105 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62 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43 h</w:t>
            </w:r>
          </w:p>
        </w:tc>
      </w:tr>
      <w:tr>
        <w:tc>
          <w:tcPr>
            <w:tcW w:type="dxa" w:w="388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TOTAL HORAS 2º CURSO (+70h Proyecto)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1.050 h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579 h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400 h (50 jornadas)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9.1 Resultados de Aprendizaje y Criterios Desarrollados en Empresa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Durante la estancia dual en la empresa colaboradora, el módulo de Diseño de Interfaces Web desarrollará y consolidará especialmente los siguientes Resultados de Aprendizaje y Criterios de Evaluación en proyectos reales: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RA1 (Planificación y diseño de interfaces): </w:t>
      </w:r>
      <w:r>
        <w:rPr>
          <w:rFonts w:ascii="Calibri" w:hAnsi="Calibri"/>
          <w:color w:val="1F2937"/>
          <w:sz w:val="20"/>
        </w:rPr>
        <w:t>b) Selección de colores y tipografías corporativas; c) Presentación de información en interfaces reales; e) Utilización de tecnologías de diseño web de la empresa; f) Creación y mantenimiento de plantillas y componentes.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RA2 (Creación de interfaces homogéneos y estilos): </w:t>
      </w:r>
      <w:r>
        <w:rPr>
          <w:rFonts w:ascii="Calibri" w:hAnsi="Calibri"/>
          <w:color w:val="1F2937"/>
          <w:sz w:val="20"/>
        </w:rPr>
        <w:t>a) Modificación y optimización de HTML; b) Aplicación de estilos; e) Redefinición y refactorización de estilos CSS; f) Propiedades avanzadas de maquetación; h) Validación y linters de estilos; i) Uso de frameworks CSS y diseño responsive en producción.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RA4, RA5 y RA6 (Interactividad y calidad): </w:t>
      </w:r>
      <w:r>
        <w:rPr>
          <w:rFonts w:ascii="Calibri" w:hAnsi="Calibri"/>
          <w:color w:val="1F2937"/>
          <w:sz w:val="20"/>
        </w:rPr>
        <w:t>Integración de componentes frontend en frameworks (Angular/React/Vue) y verificación de accesibilidad y usabilidad con clientes y usuarios finales.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10. ATENCIÓN A LA DIVERSIDAD Y DISEÑO UNIVERSAL PARA EL APRENDIZAJE (DUA)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Se aplican los principios del Diseño Universal para el Aprendizaje (DUA) para garantizar el éxito educativo de todo el alumnado: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Múltiples formas de representación: </w:t>
      </w:r>
      <w:r>
        <w:rPr>
          <w:rFonts w:ascii="Calibri" w:hAnsi="Calibri"/>
          <w:color w:val="1F2937"/>
          <w:sz w:val="20"/>
        </w:rPr>
        <w:t>Proporcionar código fuente de ejemplo, vídeos explicativos, documentación técnica oficial (MDN, Angular docs), diagramas de arquitectura y resúmenes conceptuales.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Múltiples formas de acción y expresión: </w:t>
      </w:r>
      <w:r>
        <w:rPr>
          <w:rFonts w:ascii="Calibri" w:hAnsi="Calibri"/>
          <w:color w:val="1F2937"/>
          <w:sz w:val="20"/>
        </w:rPr>
        <w:t>Permitir entregas con diferentes niveles de complejidad, proyectos personalizados según intereses del alumno (e-commerce, portales educativos, dashboards) y opciones de frameworks.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Múltiples formas de implicación: </w:t>
      </w:r>
      <w:r>
        <w:rPr>
          <w:rFonts w:ascii="Calibri" w:hAnsi="Calibri"/>
          <w:color w:val="1F2937"/>
          <w:sz w:val="20"/>
        </w:rPr>
        <w:t>Conectar los contenidos con las demandas reales del mercado laboral, trabajo cooperativo y aprendizaje basado en retos.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4"/>
        </w:rPr>
        <w:t>10.1 Medidas Concretas para el Grupo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Alumnado con ritmos más lentos o dificultades: </w:t>
      </w:r>
      <w:r>
        <w:rPr>
          <w:rFonts w:ascii="Calibri" w:hAnsi="Calibri"/>
          <w:color w:val="1F2937"/>
          <w:sz w:val="20"/>
        </w:rPr>
        <w:t>Guías paso a paso, descomposiciones de tareas complejas en micro-hitos y sesiones de apoyo guiado en el laboratorio.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Alumnado aventajado / Altas capacidades: </w:t>
      </w:r>
      <w:r>
        <w:rPr>
          <w:rFonts w:ascii="Calibri" w:hAnsi="Calibri"/>
          <w:color w:val="1F2937"/>
          <w:sz w:val="20"/>
        </w:rPr>
        <w:t>Retos avanzados de programación frontend (creación de directivas y pipes personalizados en Angular, optimización de renderizado con OnPush y Signals, arquitecturas CSS avanzadas y micro-frontends).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Alumnado trabajador o con régimen modular: </w:t>
      </w:r>
      <w:r>
        <w:rPr>
          <w:rFonts w:ascii="Calibri" w:hAnsi="Calibri"/>
          <w:color w:val="1F2937"/>
          <w:sz w:val="20"/>
        </w:rPr>
        <w:t>Seguimiento a través de la plataforma virtual (Moodle), material online 100% disponible (`docs/`), flexibilidad justificada en plazos de entrega y tutorías telemáticas.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Alumnado repetidor: </w:t>
      </w:r>
      <w:r>
        <w:rPr>
          <w:rFonts w:ascii="Calibri" w:hAnsi="Calibri"/>
          <w:color w:val="1F2937"/>
          <w:sz w:val="20"/>
        </w:rPr>
        <w:t>Atención individualizada para la coordinación del proyecto y asignaturas pendientes, adaptando el calendario de entregas.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11. ELEMENTOS TRANSVERSALES Y PROYECTO LINGÜÍSTICO DE CENTRO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En cumplimiento de los artículos 39 y 40 de la Ley 17/2007 (LEA) y del Real Decreto 659/2023: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Accesibilidad Universal y No Discriminación: </w:t>
      </w:r>
      <w:r>
        <w:rPr>
          <w:rFonts w:ascii="Calibri" w:hAnsi="Calibri"/>
          <w:color w:val="1F2937"/>
          <w:sz w:val="20"/>
        </w:rPr>
        <w:t>El módulo sitúa el Diseño para Todos y la Accesibilidad Web Universal (WCAG / WAI-ARIA) en el centro de la práctica profesional, garantizando que el software no excluya a personas con discapacidades.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Igualdad de Género: </w:t>
      </w:r>
      <w:r>
        <w:rPr>
          <w:rFonts w:ascii="Calibri" w:hAnsi="Calibri"/>
          <w:color w:val="1F2937"/>
          <w:sz w:val="20"/>
        </w:rPr>
        <w:t>Fomento de la presencia de mujeres en el desarrollo frontend y visibilización de referentes femeninos en diseño UX/UI y programación web.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Propiedad Intelectual y Privacidad: </w:t>
      </w:r>
      <w:r>
        <w:rPr>
          <w:rFonts w:ascii="Calibri" w:hAnsi="Calibri"/>
          <w:color w:val="1F2937"/>
          <w:sz w:val="20"/>
        </w:rPr>
        <w:t>Sensibilización en el respeto a los derechos de autor, licencias abiertas y cumplimiento de normativas de privacidad y cookies (RGPD/LOPDGDD).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Sostenibilidad y Transición Ecológica: </w:t>
      </w:r>
      <w:r>
        <w:rPr>
          <w:rFonts w:ascii="Calibri" w:hAnsi="Calibri"/>
          <w:color w:val="1F2937"/>
          <w:sz w:val="20"/>
        </w:rPr>
        <w:t>Optimización de transferencias de red, compresión de activos multimedia y reducción de la huella de carbono digital en servidores web (Green Web Design).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Proyecto Lingüístico de Centro (PLC): </w:t>
      </w:r>
      <w:r>
        <w:rPr>
          <w:rFonts w:ascii="Calibri" w:hAnsi="Calibri"/>
          <w:color w:val="1F2937"/>
          <w:sz w:val="20"/>
        </w:rPr>
        <w:t>Lectura y redacción de documentación técnica en español e inglés (especificaciones W3C, MDN, Angular.io). Se exigirá corrección ortográfica y gramatical en memorias y proyectos (descuento formativo de 0,2 por falta hasta un máximo de 2 puntos con opción de corrección).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12. ACTIVIDADES COMPLEMENTARIAS Y EXTRAESCOLARES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Se prevén las siguientes actividades complementarias y extraescolares: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Visitas a Empresas Tecnológicas: </w:t>
      </w:r>
      <w:r>
        <w:rPr>
          <w:rFonts w:ascii="Calibri" w:hAnsi="Calibri"/>
          <w:color w:val="1F2937"/>
          <w:sz w:val="20"/>
        </w:rPr>
        <w:t>Visitas a empresas de desarrollo de software, estudios de diseño UX/UI y consultoras tecnológicas del entorno andaluz (Parque Tecnológico Geolit en Jaén, PTA Málaga, Cartuja en Sevilla).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Jornadas Técnicas y Encuentros Frontend: </w:t>
      </w:r>
      <w:r>
        <w:rPr>
          <w:rFonts w:ascii="Calibri" w:hAnsi="Calibri"/>
          <w:color w:val="1F2937"/>
          <w:sz w:val="20"/>
        </w:rPr>
        <w:t>Participación en conferencias, eventos de desarrolladores (Google Developer Groups, jornadas de software libre) y webinars con expertos en frontend y accesibilidad web.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Mesa Redonda con Egresados: </w:t>
      </w:r>
      <w:r>
        <w:rPr>
          <w:rFonts w:ascii="Calibri" w:hAnsi="Calibri"/>
          <w:color w:val="1F2937"/>
          <w:sz w:val="20"/>
        </w:rPr>
        <w:t>Encuentros con antiguos alumnos/as de DAW que trabajan actualmente como desarrolladores frontend o ingenieros de interfaz.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29"/>
        </w:rPr>
        <w:t>13. RECURSOS DIDÁCTICOS, BIBLIOGRAFÍA Y MATERIALES DEL MÓDULO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El desarrollo formativo se fundamenta en los 23 documentos de apuntes y prácticas alojados en la carpeta docs/ del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1584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Unidad / Doc</w:t>
            </w:r>
          </w:p>
        </w:tc>
        <w:tc>
          <w:tcPr>
            <w:tcW w:type="dxa" w:w="3456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Título del Recurso en docs/</w:t>
            </w:r>
          </w:p>
        </w:tc>
        <w:tc>
          <w:tcPr>
            <w:tcW w:type="dxa" w:w="4608"/>
            <w:shd w:fill="0F4C8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Contenido y Enfoque Profesional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01 (index.md)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01. Introducción al Diseño de Interfaces Web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Fundamentos de UI/UX, ergonomía digital, herramientas y flujo de trabajo frontend.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02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02-psicologia-diseno.md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Psicología cognitiva, Leyes de Gestalt, Leyes de UX (Fitts, Hick, Miller, Jakob) y modelos mentales.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03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03-color-tipografia.md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Teoría del color, espacios de color modernos (Oklch), ratios WCAG, jerarquía tipográfica y fuentes variables.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04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04-guias-estilo-design-systems.md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Sistemas de diseño, Atomic Design, Design Tokens y documentación de componentes.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05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05-figma-profesional.md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Figma avanzado: Frames, Auto Layout, Componentes, Variantes, Variables y prototipado Smart Animate.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06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06-arquitectura-informacion.md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Arquitectura de información, árboles de contenido, User Flows, Card Sorting y Wireframes.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07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07-html-semantico.md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HTML5 semántico, landmarks accesibles, microdatos Schema.org y SEO técnico.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08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08-css-profesional.md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CSS profesional, Box Model, cascada, especificidad, Custom Properties y metodología BEM.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09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09-flexbox.md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Maquetación unidimensional con Flexbox, propiedades del contenedor y de los items.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10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10-css-grid-layout.md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Maquetación bidimensional con CSS Grid, pistas, áreas, auto-fit/auto-fill y alineaciones.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11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11-responsive-design.md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Diseño responsive Mobile-First, Media Queries, Container Queries e imágenes responsivas (&lt;picture&gt;).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12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12-multimedia-web.md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Integración de multimedia: WebP, AVIF, SVG interactivo, audio/vídeo HTML5 y subtítulos WebVTT.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13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13-interactividad-web.md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Interactividad web, transiciones CSS, keyframes, eventos DOM y animaciones JavaScript.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14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14-accesibilidad-web.md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Accesibilidad web universal, pautas WCAG 2.1/2.2 (A/AA/AAA), WAI-ARIA, tests automáticos y lectores.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15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15-usabilidad-web.md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Usabilidad web, las 10 heurísticas de Nielsen, métricas SUS, Core Web Vitals y pruebas de usuario.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16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16-diseno-centrado-usuario.md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Metodología DCU y Design Thinking: User Personas, Empathy Maps y Customer Journey Maps.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17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17-tailwindcss4.md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Tailwind CSS 4: Enfoque Utility-First, configuración moderna, directivas @theme y responsive design.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18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18-preprocesadores-css.md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Preprocesadores CSS: Sass/SCSS y LESS, variables, anidamiento, mixins, funciones y @use/@forward.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19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19-marco-legal-multimedia.md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Marco legal multimedia: TRLPI, licencias Creative Commons, licencias de software, RGPD y privacidad.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20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20-angular-introduccion.md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Angular: Arquitectura por componentes Standalone, TypeScript, Angular CLI y ciclo de vida.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21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21-angular-componentes-datos.md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Angular: Data Binding, directivas de control (@if, @for, @switch), Signals y Pipes.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22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22-angular-servicios-httpclient.md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Angular: Inyección de dependencias, Servicios, HttpClient, RxJS (Observables) y consumo de APIs REST.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23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23-angular-routing-formularios.md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Angular: Enrutamiento con Angular Router, Lazy Loading, Formularios Reactivos y validación UI.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Portales y documentación técnica de referencia: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• </w:t>
      </w:r>
      <w:r>
        <w:rPr>
          <w:rFonts w:ascii="Calibri" w:hAnsi="Calibri"/>
          <w:color w:val="1F2937"/>
          <w:sz w:val="20"/>
        </w:rPr>
        <w:t>W3C / Web Accessibility Initiative (WAI): w3.org/WAI (Pautas WCAG 2.2 y especificación WAI-ARIA).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• </w:t>
      </w:r>
      <w:r>
        <w:rPr>
          <w:rFonts w:ascii="Calibri" w:hAnsi="Calibri"/>
          <w:color w:val="1F2937"/>
          <w:sz w:val="20"/>
        </w:rPr>
        <w:t>MDN Web Docs (Mozilla): developer.mozilla.org (Referencia estándar de HTML, CSS, JavaScript y APIs Web).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• </w:t>
      </w:r>
      <w:r>
        <w:rPr>
          <w:rFonts w:ascii="Calibri" w:hAnsi="Calibri"/>
          <w:color w:val="1F2937"/>
          <w:sz w:val="20"/>
        </w:rPr>
        <w:t>Angular Official Documentation: angular.dev (Guías oficiales, tutoriales y API reference de Angular).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• </w:t>
      </w:r>
      <w:r>
        <w:rPr>
          <w:rFonts w:ascii="Calibri" w:hAnsi="Calibri"/>
          <w:color w:val="1F2937"/>
          <w:sz w:val="20"/>
        </w:rPr>
        <w:t>Figma Learn: help.figma.com (Documentación de Auto Layout, componentes y prototipado).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0"/>
        </w:rPr>
        <w:t xml:space="preserve">• </w:t>
      </w:r>
      <w:r>
        <w:rPr>
          <w:rFonts w:ascii="Calibri" w:hAnsi="Calibri"/>
          <w:color w:val="1F2937"/>
          <w:sz w:val="20"/>
        </w:rPr>
        <w:t>Tailwind CSS Docs: tailwindcss.com (Documentación técnica de Tailwind CSS v4).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