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6A4E" w14:textId="4A763A02" w:rsidR="00A978F1" w:rsidRPr="00C72233" w:rsidRDefault="00A978F1" w:rsidP="00C72233">
      <w:pPr>
        <w:jc w:val="both"/>
        <w:rPr>
          <w:b/>
          <w:bCs/>
          <w:sz w:val="24"/>
          <w:szCs w:val="24"/>
        </w:rPr>
      </w:pPr>
      <w:r w:rsidRPr="00A978F1">
        <w:rPr>
          <w:b/>
          <w:bCs/>
          <w:sz w:val="24"/>
          <w:szCs w:val="24"/>
        </w:rPr>
        <w:t>Proyecto Semáforo IA</w:t>
      </w:r>
    </w:p>
    <w:p w14:paraId="0FFBF9DF" w14:textId="4F9B003A" w:rsidR="00C72233" w:rsidRPr="00C72233" w:rsidRDefault="00C72233" w:rsidP="00C72233">
      <w:pPr>
        <w:jc w:val="both"/>
        <w:rPr>
          <w:b/>
          <w:bCs/>
          <w:sz w:val="24"/>
          <w:szCs w:val="24"/>
        </w:rPr>
      </w:pPr>
      <w:r w:rsidRPr="00C72233">
        <w:rPr>
          <w:b/>
          <w:bCs/>
          <w:sz w:val="24"/>
          <w:szCs w:val="24"/>
        </w:rPr>
        <w:t>Resumen</w:t>
      </w:r>
    </w:p>
    <w:p w14:paraId="0864878B" w14:textId="77777777" w:rsidR="00C72233" w:rsidRPr="00C72233" w:rsidRDefault="00C72233" w:rsidP="00C72233">
      <w:pPr>
        <w:spacing w:before="200"/>
        <w:jc w:val="both"/>
        <w:rPr>
          <w:rFonts w:ascii="Calibri" w:hAnsi="Calibri" w:cs="Calibri"/>
          <w:sz w:val="24"/>
          <w:szCs w:val="24"/>
        </w:rPr>
      </w:pPr>
      <w:r w:rsidRPr="00C72233">
        <w:rPr>
          <w:rFonts w:ascii="Calibri" w:hAnsi="Calibri" w:cs="Calibri"/>
          <w:sz w:val="24"/>
          <w:szCs w:val="24"/>
        </w:rPr>
        <w:t xml:space="preserve">Semáforo IA es un sistema de software orientado a estimar y visualizar, en tiempo real o de forma </w:t>
      </w:r>
      <w:proofErr w:type="spellStart"/>
      <w:r w:rsidRPr="00C72233">
        <w:rPr>
          <w:rFonts w:ascii="Calibri" w:hAnsi="Calibri" w:cs="Calibri"/>
          <w:sz w:val="24"/>
          <w:szCs w:val="24"/>
        </w:rPr>
        <w:t>posprocesada</w:t>
      </w:r>
      <w:proofErr w:type="spellEnd"/>
      <w:r w:rsidRPr="00C72233">
        <w:rPr>
          <w:rFonts w:ascii="Calibri" w:hAnsi="Calibri" w:cs="Calibri"/>
          <w:sz w:val="24"/>
          <w:szCs w:val="24"/>
        </w:rPr>
        <w:t>, el costo económico y la huella de carbono generados por el uso de modelos de inteligencia artificial. Traduce datos técnicos de consumo energético en señales de semáforo (verde / amarillo / rojo) comprensibles para cualquier usuario, independientemente de su perfil técnico. El presente documento describe el contexto del problema, analiza el sistema desde cinco dimensiones cualitativas, identifica sus causas raíz mediante un diagrama de Ishikawa y provee las referencias académicas que fundamentan el análisis.</w:t>
      </w:r>
    </w:p>
    <w:p w14:paraId="290E4658" w14:textId="77777777" w:rsidR="00C72233" w:rsidRPr="00A978F1" w:rsidRDefault="00C72233" w:rsidP="00C72233">
      <w:pPr>
        <w:jc w:val="both"/>
        <w:rPr>
          <w:b/>
          <w:bCs/>
          <w:sz w:val="24"/>
          <w:szCs w:val="24"/>
        </w:rPr>
      </w:pPr>
    </w:p>
    <w:p w14:paraId="3147DEC5" w14:textId="77777777" w:rsidR="00A978F1" w:rsidRPr="00A978F1" w:rsidRDefault="00A978F1" w:rsidP="00C72233">
      <w:pPr>
        <w:jc w:val="both"/>
        <w:rPr>
          <w:b/>
          <w:bCs/>
          <w:sz w:val="24"/>
          <w:szCs w:val="24"/>
        </w:rPr>
      </w:pPr>
      <w:r w:rsidRPr="00A978F1">
        <w:rPr>
          <w:b/>
          <w:bCs/>
          <w:sz w:val="24"/>
          <w:szCs w:val="24"/>
        </w:rPr>
        <w:t>1. Análisis Cualitativo del Sistema</w:t>
      </w:r>
    </w:p>
    <w:p w14:paraId="2D39FA65" w14:textId="77777777" w:rsidR="00A978F1" w:rsidRPr="00A978F1" w:rsidRDefault="00A978F1" w:rsidP="00C72233">
      <w:pPr>
        <w:jc w:val="both"/>
        <w:rPr>
          <w:b/>
          <w:bCs/>
          <w:sz w:val="24"/>
          <w:szCs w:val="24"/>
        </w:rPr>
      </w:pPr>
      <w:r w:rsidRPr="00A978F1">
        <w:rPr>
          <w:b/>
          <w:bCs/>
          <w:sz w:val="24"/>
          <w:szCs w:val="24"/>
        </w:rPr>
        <w:t>1.1 El Problema: Invisibilidad del Costo Real de la IA</w:t>
      </w:r>
    </w:p>
    <w:p w14:paraId="2447B6F8" w14:textId="77777777" w:rsidR="00A978F1" w:rsidRPr="00A978F1" w:rsidRDefault="00A978F1" w:rsidP="00C72233">
      <w:pPr>
        <w:jc w:val="both"/>
        <w:rPr>
          <w:sz w:val="24"/>
          <w:szCs w:val="24"/>
        </w:rPr>
      </w:pPr>
      <w:r w:rsidRPr="00A978F1">
        <w:rPr>
          <w:sz w:val="24"/>
          <w:szCs w:val="24"/>
        </w:rPr>
        <w:t>El crecimiento exponencial en la adopción de modelos de inteligencia artificial ha desencadenado una demanda computacional sin precedentes, cuya huella ambiental suele ser ignorada por el usuario final. Cada interacción con un Modelo de Lenguaje de Gran Escala (LLM) o un proceso de visión computacional conlleva un consumo energético tangible y emisiones de carbono asociadas.</w:t>
      </w:r>
    </w:p>
    <w:p w14:paraId="6E4301C0" w14:textId="77777777" w:rsidR="00A978F1" w:rsidRPr="00A978F1" w:rsidRDefault="00A978F1" w:rsidP="00C72233">
      <w:pPr>
        <w:jc w:val="both"/>
        <w:rPr>
          <w:sz w:val="24"/>
          <w:szCs w:val="24"/>
        </w:rPr>
      </w:pPr>
      <w:r w:rsidRPr="00A978F1">
        <w:rPr>
          <w:sz w:val="24"/>
          <w:szCs w:val="24"/>
        </w:rPr>
        <w:t xml:space="preserve">Según </w:t>
      </w:r>
      <w:r w:rsidRPr="00A978F1">
        <w:rPr>
          <w:b/>
          <w:bCs/>
          <w:sz w:val="24"/>
          <w:szCs w:val="24"/>
        </w:rPr>
        <w:t>Strubell et al. (2019)</w:t>
      </w:r>
      <w:r w:rsidRPr="00A978F1">
        <w:rPr>
          <w:sz w:val="24"/>
          <w:szCs w:val="24"/>
        </w:rPr>
        <w:t xml:space="preserve">, el entrenamiento de un solo modelo de procesamiento de lenguaje natural (NLP) puede emitir hasta </w:t>
      </w:r>
      <w:r w:rsidRPr="00A978F1">
        <w:rPr>
          <w:b/>
          <w:bCs/>
          <w:sz w:val="24"/>
          <w:szCs w:val="24"/>
        </w:rPr>
        <w:t>626,000 kg de CO₂ equivalente</w:t>
      </w:r>
      <w:r w:rsidRPr="00A978F1">
        <w:rPr>
          <w:sz w:val="24"/>
          <w:szCs w:val="24"/>
        </w:rPr>
        <w:t xml:space="preserve">, una cifra comparable a las emisiones totales de cinco automóviles durante toda su vida útil. Esta opacidad informativa impide que tanto usuarios como organizaciones tomen decisiones alineadas con la responsabilidad ambiental, estableciendo la necesidad crítica del proyecto </w:t>
      </w:r>
      <w:r w:rsidRPr="00A978F1">
        <w:rPr>
          <w:b/>
          <w:bCs/>
          <w:sz w:val="24"/>
          <w:szCs w:val="24"/>
        </w:rPr>
        <w:t>Semáforo IA</w:t>
      </w:r>
      <w:r w:rsidRPr="00A978F1">
        <w:rPr>
          <w:sz w:val="24"/>
          <w:szCs w:val="24"/>
        </w:rPr>
        <w:t>.</w:t>
      </w:r>
    </w:p>
    <w:p w14:paraId="1BA7070B" w14:textId="77777777" w:rsidR="00A978F1" w:rsidRPr="00A978F1" w:rsidRDefault="00A978F1" w:rsidP="00C72233">
      <w:pPr>
        <w:jc w:val="both"/>
        <w:rPr>
          <w:b/>
          <w:bCs/>
          <w:sz w:val="24"/>
          <w:szCs w:val="24"/>
        </w:rPr>
      </w:pPr>
      <w:r w:rsidRPr="00A978F1">
        <w:rPr>
          <w:b/>
          <w:bCs/>
          <w:sz w:val="24"/>
          <w:szCs w:val="24"/>
        </w:rPr>
        <w:t>1.2 Dimensión Técnica: Arquitectura y Metodología de Estimación</w:t>
      </w:r>
    </w:p>
    <w:p w14:paraId="71C5FC99" w14:textId="77777777" w:rsidR="00A978F1" w:rsidRPr="00A978F1" w:rsidRDefault="00A978F1" w:rsidP="00C72233">
      <w:pPr>
        <w:jc w:val="both"/>
        <w:rPr>
          <w:sz w:val="24"/>
          <w:szCs w:val="24"/>
        </w:rPr>
      </w:pPr>
      <w:r w:rsidRPr="00A978F1">
        <w:rPr>
          <w:sz w:val="24"/>
          <w:szCs w:val="24"/>
        </w:rPr>
        <w:t>La precisión del sistema para estimar el consumo energético se fundamenta en la integración de tres variables clave:</w:t>
      </w:r>
    </w:p>
    <w:p w14:paraId="53785DFC" w14:textId="77777777" w:rsidR="00A978F1" w:rsidRPr="00A978F1" w:rsidRDefault="00A978F1" w:rsidP="00C72233">
      <w:pPr>
        <w:numPr>
          <w:ilvl w:val="0"/>
          <w:numId w:val="5"/>
        </w:numPr>
        <w:jc w:val="both"/>
        <w:rPr>
          <w:sz w:val="24"/>
          <w:szCs w:val="24"/>
        </w:rPr>
      </w:pPr>
      <w:r w:rsidRPr="00A978F1">
        <w:rPr>
          <w:b/>
          <w:bCs/>
          <w:sz w:val="24"/>
          <w:szCs w:val="24"/>
        </w:rPr>
        <w:t>Arquitectura del Modelo:</w:t>
      </w:r>
      <w:r w:rsidRPr="00A978F1">
        <w:rPr>
          <w:sz w:val="24"/>
          <w:szCs w:val="24"/>
        </w:rPr>
        <w:t xml:space="preserve"> Parámetros, tipos de capas y régimen (inferencia vs. entrenamiento).</w:t>
      </w:r>
    </w:p>
    <w:p w14:paraId="4BBA75AC" w14:textId="77777777" w:rsidR="00A978F1" w:rsidRPr="00A978F1" w:rsidRDefault="00A978F1" w:rsidP="00C72233">
      <w:pPr>
        <w:numPr>
          <w:ilvl w:val="0"/>
          <w:numId w:val="5"/>
        </w:numPr>
        <w:jc w:val="both"/>
        <w:rPr>
          <w:sz w:val="24"/>
          <w:szCs w:val="24"/>
        </w:rPr>
      </w:pPr>
      <w:r w:rsidRPr="00A978F1">
        <w:rPr>
          <w:b/>
          <w:bCs/>
          <w:sz w:val="24"/>
          <w:szCs w:val="24"/>
        </w:rPr>
        <w:t>Hardware:</w:t>
      </w:r>
      <w:r w:rsidRPr="00A978F1">
        <w:rPr>
          <w:sz w:val="24"/>
          <w:szCs w:val="24"/>
        </w:rPr>
        <w:t xml:space="preserve"> Eficiencia energética de </w:t>
      </w:r>
      <w:proofErr w:type="spellStart"/>
      <w:r w:rsidRPr="00A978F1">
        <w:rPr>
          <w:sz w:val="24"/>
          <w:szCs w:val="24"/>
        </w:rPr>
        <w:t>GPUs</w:t>
      </w:r>
      <w:proofErr w:type="spellEnd"/>
      <w:r w:rsidRPr="00A978F1">
        <w:rPr>
          <w:sz w:val="24"/>
          <w:szCs w:val="24"/>
        </w:rPr>
        <w:t xml:space="preserve">, </w:t>
      </w:r>
      <w:proofErr w:type="spellStart"/>
      <w:r w:rsidRPr="00A978F1">
        <w:rPr>
          <w:sz w:val="24"/>
          <w:szCs w:val="24"/>
        </w:rPr>
        <w:t>CPUs</w:t>
      </w:r>
      <w:proofErr w:type="spellEnd"/>
      <w:r w:rsidRPr="00A978F1">
        <w:rPr>
          <w:sz w:val="24"/>
          <w:szCs w:val="24"/>
        </w:rPr>
        <w:t xml:space="preserve"> o </w:t>
      </w:r>
      <w:proofErr w:type="spellStart"/>
      <w:r w:rsidRPr="00A978F1">
        <w:rPr>
          <w:sz w:val="24"/>
          <w:szCs w:val="24"/>
        </w:rPr>
        <w:t>TPUs</w:t>
      </w:r>
      <w:proofErr w:type="spellEnd"/>
      <w:r w:rsidRPr="00A978F1">
        <w:rPr>
          <w:sz w:val="24"/>
          <w:szCs w:val="24"/>
        </w:rPr>
        <w:t>.</w:t>
      </w:r>
    </w:p>
    <w:p w14:paraId="4B411B41" w14:textId="77777777" w:rsidR="00A978F1" w:rsidRPr="00A978F1" w:rsidRDefault="00A978F1" w:rsidP="00C72233">
      <w:pPr>
        <w:numPr>
          <w:ilvl w:val="0"/>
          <w:numId w:val="5"/>
        </w:numPr>
        <w:jc w:val="both"/>
        <w:rPr>
          <w:sz w:val="24"/>
          <w:szCs w:val="24"/>
        </w:rPr>
      </w:pPr>
      <w:r w:rsidRPr="00A978F1">
        <w:rPr>
          <w:b/>
          <w:bCs/>
          <w:sz w:val="24"/>
          <w:szCs w:val="24"/>
        </w:rPr>
        <w:t>Duración de la Tarea:</w:t>
      </w:r>
      <w:r w:rsidRPr="00A978F1">
        <w:rPr>
          <w:sz w:val="24"/>
          <w:szCs w:val="24"/>
        </w:rPr>
        <w:t xml:space="preserve"> Tiempo total de ejecución del proceso.</w:t>
      </w:r>
    </w:p>
    <w:p w14:paraId="1BBF694D" w14:textId="77777777" w:rsidR="00A978F1" w:rsidRPr="00A978F1" w:rsidRDefault="00A978F1" w:rsidP="00C72233">
      <w:pPr>
        <w:jc w:val="both"/>
        <w:rPr>
          <w:sz w:val="24"/>
          <w:szCs w:val="24"/>
        </w:rPr>
      </w:pPr>
      <w:r w:rsidRPr="00A978F1">
        <w:rPr>
          <w:sz w:val="24"/>
          <w:szCs w:val="24"/>
        </w:rPr>
        <w:t xml:space="preserve">Ante la falta de </w:t>
      </w:r>
      <w:proofErr w:type="spellStart"/>
      <w:r w:rsidRPr="00A978F1">
        <w:rPr>
          <w:sz w:val="24"/>
          <w:szCs w:val="24"/>
        </w:rPr>
        <w:t>APIs</w:t>
      </w:r>
      <w:proofErr w:type="spellEnd"/>
      <w:r w:rsidRPr="00A978F1">
        <w:rPr>
          <w:sz w:val="24"/>
          <w:szCs w:val="24"/>
        </w:rPr>
        <w:t xml:space="preserve"> de consumo en tiempo real por parte de proveedores </w:t>
      </w:r>
      <w:proofErr w:type="spellStart"/>
      <w:r w:rsidRPr="00A978F1">
        <w:rPr>
          <w:i/>
          <w:iCs/>
          <w:sz w:val="24"/>
          <w:szCs w:val="24"/>
        </w:rPr>
        <w:t>cloud</w:t>
      </w:r>
      <w:proofErr w:type="spellEnd"/>
      <w:r w:rsidRPr="00A978F1">
        <w:rPr>
          <w:sz w:val="24"/>
          <w:szCs w:val="24"/>
        </w:rPr>
        <w:t xml:space="preserve"> (AWS, GCP, Azure), el sistema emplea factores de consumo típico y el </w:t>
      </w:r>
      <w:r w:rsidRPr="00A978F1">
        <w:rPr>
          <w:b/>
          <w:bCs/>
          <w:sz w:val="24"/>
          <w:szCs w:val="24"/>
        </w:rPr>
        <w:t xml:space="preserve">PUE (Power </w:t>
      </w:r>
      <w:proofErr w:type="spellStart"/>
      <w:r w:rsidRPr="00A978F1">
        <w:rPr>
          <w:b/>
          <w:bCs/>
          <w:sz w:val="24"/>
          <w:szCs w:val="24"/>
        </w:rPr>
        <w:t>Usage</w:t>
      </w:r>
      <w:proofErr w:type="spellEnd"/>
      <w:r w:rsidRPr="00A978F1">
        <w:rPr>
          <w:b/>
          <w:bCs/>
          <w:sz w:val="24"/>
          <w:szCs w:val="24"/>
        </w:rPr>
        <w:t xml:space="preserve"> </w:t>
      </w:r>
      <w:proofErr w:type="spellStart"/>
      <w:r w:rsidRPr="00A978F1">
        <w:rPr>
          <w:b/>
          <w:bCs/>
          <w:sz w:val="24"/>
          <w:szCs w:val="24"/>
        </w:rPr>
        <w:t>Effectiveness</w:t>
      </w:r>
      <w:proofErr w:type="spellEnd"/>
      <w:r w:rsidRPr="00A978F1">
        <w:rPr>
          <w:b/>
          <w:bCs/>
          <w:sz w:val="24"/>
          <w:szCs w:val="24"/>
        </w:rPr>
        <w:t>)</w:t>
      </w:r>
      <w:r w:rsidRPr="00A978F1">
        <w:rPr>
          <w:sz w:val="24"/>
          <w:szCs w:val="24"/>
        </w:rPr>
        <w:t xml:space="preserve"> reportado por los proveedores.</w:t>
      </w:r>
    </w:p>
    <w:p w14:paraId="19377CE7" w14:textId="38C72B21" w:rsidR="00A978F1" w:rsidRPr="00A978F1" w:rsidRDefault="00A978F1" w:rsidP="00C72233">
      <w:pPr>
        <w:jc w:val="both"/>
        <w:rPr>
          <w:sz w:val="24"/>
          <w:szCs w:val="24"/>
        </w:rPr>
      </w:pPr>
      <w:r w:rsidRPr="00A978F1">
        <w:rPr>
          <w:sz w:val="24"/>
          <w:szCs w:val="24"/>
        </w:rPr>
        <w:t xml:space="preserve">Un factor determinante es el </w:t>
      </w:r>
      <w:r w:rsidRPr="00A978F1">
        <w:rPr>
          <w:b/>
          <w:bCs/>
          <w:sz w:val="24"/>
          <w:szCs w:val="24"/>
        </w:rPr>
        <w:t xml:space="preserve">CIF (Carbon </w:t>
      </w:r>
      <w:proofErr w:type="spellStart"/>
      <w:r w:rsidRPr="00A978F1">
        <w:rPr>
          <w:b/>
          <w:bCs/>
          <w:sz w:val="24"/>
          <w:szCs w:val="24"/>
        </w:rPr>
        <w:t>Intensity</w:t>
      </w:r>
      <w:proofErr w:type="spellEnd"/>
      <w:r w:rsidRPr="00A978F1">
        <w:rPr>
          <w:b/>
          <w:bCs/>
          <w:sz w:val="24"/>
          <w:szCs w:val="24"/>
        </w:rPr>
        <w:t xml:space="preserve"> Factor)</w:t>
      </w:r>
      <w:r w:rsidRPr="00A978F1">
        <w:rPr>
          <w:sz w:val="24"/>
          <w:szCs w:val="24"/>
        </w:rPr>
        <w:t>, que mide los gramos de CO₂ por cada kWh generado. La variabilidad geográfica es extrema: regiones con matriz hidráulica presentan menos de 20gCO₂/kWh</w:t>
      </w:r>
      <w:r w:rsidRPr="00C72233">
        <w:rPr>
          <w:sz w:val="24"/>
          <w:szCs w:val="24"/>
        </w:rPr>
        <w:t>,</w:t>
      </w:r>
      <w:r w:rsidRPr="00A978F1">
        <w:rPr>
          <w:sz w:val="24"/>
          <w:szCs w:val="24"/>
        </w:rPr>
        <w:t xml:space="preserve"> mientras que zonas </w:t>
      </w:r>
      <w:r w:rsidRPr="00A978F1">
        <w:rPr>
          <w:sz w:val="24"/>
          <w:szCs w:val="24"/>
        </w:rPr>
        <w:lastRenderedPageBreak/>
        <w:t>dependientes del carbón superan los 800gCO₂/kWh. Esto implica que una misma ejecución puede ser hasta 40 veces más contaminante dependiendo de la ubicación del servidor (</w:t>
      </w:r>
      <w:proofErr w:type="spellStart"/>
      <w:r w:rsidRPr="00A978F1">
        <w:rPr>
          <w:b/>
          <w:bCs/>
          <w:sz w:val="24"/>
          <w:szCs w:val="24"/>
        </w:rPr>
        <w:t>Lannelongue</w:t>
      </w:r>
      <w:proofErr w:type="spellEnd"/>
      <w:r w:rsidRPr="00A978F1">
        <w:rPr>
          <w:b/>
          <w:bCs/>
          <w:sz w:val="24"/>
          <w:szCs w:val="24"/>
        </w:rPr>
        <w:t xml:space="preserve"> et al., 2021</w:t>
      </w:r>
      <w:r w:rsidRPr="00A978F1">
        <w:rPr>
          <w:sz w:val="24"/>
          <w:szCs w:val="24"/>
        </w:rPr>
        <w:t>).</w:t>
      </w:r>
    </w:p>
    <w:p w14:paraId="00BF59CD" w14:textId="77777777" w:rsidR="00A978F1" w:rsidRPr="00A978F1" w:rsidRDefault="00A978F1" w:rsidP="00C72233">
      <w:pPr>
        <w:jc w:val="both"/>
        <w:rPr>
          <w:b/>
          <w:bCs/>
          <w:sz w:val="24"/>
          <w:szCs w:val="24"/>
        </w:rPr>
      </w:pPr>
      <w:r w:rsidRPr="00A978F1">
        <w:rPr>
          <w:b/>
          <w:bCs/>
          <w:sz w:val="24"/>
          <w:szCs w:val="24"/>
        </w:rPr>
        <w:t>1.3 Dimensión Económica: Costos Directos y Externalidades</w:t>
      </w:r>
    </w:p>
    <w:p w14:paraId="47E4C392" w14:textId="77777777" w:rsidR="00A978F1" w:rsidRPr="00A978F1" w:rsidRDefault="00A978F1" w:rsidP="00C72233">
      <w:pPr>
        <w:jc w:val="both"/>
        <w:rPr>
          <w:sz w:val="24"/>
          <w:szCs w:val="24"/>
        </w:rPr>
      </w:pPr>
      <w:r w:rsidRPr="00A978F1">
        <w:rPr>
          <w:sz w:val="24"/>
          <w:szCs w:val="24"/>
        </w:rPr>
        <w:t>El sistema desglosa el impacto financiero en dos vertientes:</w:t>
      </w:r>
    </w:p>
    <w:p w14:paraId="2E2F976D" w14:textId="77777777" w:rsidR="00A978F1" w:rsidRPr="00A978F1" w:rsidRDefault="00A978F1" w:rsidP="00C72233">
      <w:pPr>
        <w:numPr>
          <w:ilvl w:val="0"/>
          <w:numId w:val="6"/>
        </w:numPr>
        <w:jc w:val="both"/>
        <w:rPr>
          <w:sz w:val="24"/>
          <w:szCs w:val="24"/>
        </w:rPr>
      </w:pPr>
      <w:r w:rsidRPr="00A978F1">
        <w:rPr>
          <w:b/>
          <w:bCs/>
          <w:sz w:val="24"/>
          <w:szCs w:val="24"/>
        </w:rPr>
        <w:t>Costo Directo:</w:t>
      </w:r>
      <w:r w:rsidRPr="00A978F1">
        <w:rPr>
          <w:sz w:val="24"/>
          <w:szCs w:val="24"/>
        </w:rPr>
        <w:t xml:space="preserve"> Gastos operativos de cómputo (GPU/hora, tokens o llamadas API).</w:t>
      </w:r>
    </w:p>
    <w:p w14:paraId="72D0F84D" w14:textId="77777777" w:rsidR="00A978F1" w:rsidRPr="00A978F1" w:rsidRDefault="00A978F1" w:rsidP="00C72233">
      <w:pPr>
        <w:numPr>
          <w:ilvl w:val="0"/>
          <w:numId w:val="6"/>
        </w:numPr>
        <w:jc w:val="both"/>
        <w:rPr>
          <w:sz w:val="24"/>
          <w:szCs w:val="24"/>
        </w:rPr>
      </w:pPr>
      <w:r w:rsidRPr="00A978F1">
        <w:rPr>
          <w:b/>
          <w:bCs/>
          <w:sz w:val="24"/>
          <w:szCs w:val="24"/>
        </w:rPr>
        <w:t>Externalidad Negativa:</w:t>
      </w:r>
      <w:r w:rsidRPr="00A978F1">
        <w:rPr>
          <w:sz w:val="24"/>
          <w:szCs w:val="24"/>
        </w:rPr>
        <w:t xml:space="preserve"> El costo ambiental que recae sobre la sociedad y no se refleja en la factura del proveedor.</w:t>
      </w:r>
    </w:p>
    <w:p w14:paraId="55D29BA8" w14:textId="77777777" w:rsidR="00A978F1" w:rsidRPr="00A978F1" w:rsidRDefault="00A978F1" w:rsidP="00C72233">
      <w:pPr>
        <w:jc w:val="both"/>
        <w:rPr>
          <w:sz w:val="24"/>
          <w:szCs w:val="24"/>
        </w:rPr>
      </w:pPr>
      <w:r w:rsidRPr="00A978F1">
        <w:rPr>
          <w:sz w:val="24"/>
          <w:szCs w:val="24"/>
        </w:rPr>
        <w:t xml:space="preserve">Desde la perspectiva de la economía ambiental, </w:t>
      </w:r>
      <w:r w:rsidRPr="00A978F1">
        <w:rPr>
          <w:b/>
          <w:bCs/>
          <w:sz w:val="24"/>
          <w:szCs w:val="24"/>
        </w:rPr>
        <w:t>Semáforo IA</w:t>
      </w:r>
      <w:r w:rsidRPr="00A978F1">
        <w:rPr>
          <w:sz w:val="24"/>
          <w:szCs w:val="24"/>
        </w:rPr>
        <w:t xml:space="preserve"> actúa como un mecanismo de internalización voluntaria. Al asignar un "precio" simbólico o visual al carbono, se incentiva la eficiencia incluso antes de que existan obligaciones regulatorias de </w:t>
      </w:r>
      <w:proofErr w:type="spellStart"/>
      <w:r w:rsidRPr="00A978F1">
        <w:rPr>
          <w:i/>
          <w:iCs/>
          <w:sz w:val="24"/>
          <w:szCs w:val="24"/>
        </w:rPr>
        <w:t>carbon</w:t>
      </w:r>
      <w:proofErr w:type="spellEnd"/>
      <w:r w:rsidRPr="00A978F1">
        <w:rPr>
          <w:i/>
          <w:iCs/>
          <w:sz w:val="24"/>
          <w:szCs w:val="24"/>
        </w:rPr>
        <w:t xml:space="preserve"> </w:t>
      </w:r>
      <w:proofErr w:type="spellStart"/>
      <w:r w:rsidRPr="00A978F1">
        <w:rPr>
          <w:i/>
          <w:iCs/>
          <w:sz w:val="24"/>
          <w:szCs w:val="24"/>
        </w:rPr>
        <w:t>pricing</w:t>
      </w:r>
      <w:proofErr w:type="spellEnd"/>
      <w:r w:rsidRPr="00A978F1">
        <w:rPr>
          <w:sz w:val="24"/>
          <w:szCs w:val="24"/>
        </w:rPr>
        <w:t xml:space="preserve">. Investigaciones de </w:t>
      </w:r>
      <w:r w:rsidRPr="00A978F1">
        <w:rPr>
          <w:b/>
          <w:bCs/>
          <w:sz w:val="24"/>
          <w:szCs w:val="24"/>
        </w:rPr>
        <w:t>Wu et al. (2022)</w:t>
      </w:r>
      <w:r w:rsidRPr="00A978F1">
        <w:rPr>
          <w:sz w:val="24"/>
          <w:szCs w:val="24"/>
        </w:rPr>
        <w:t xml:space="preserve"> sugieren que el ciclo de vida completo (fabricación y disposición de hardware) es aún mayor que el operacional, marcando la hoja de ruta para futuras versiones de este sistema.</w:t>
      </w:r>
    </w:p>
    <w:p w14:paraId="0BAA5546" w14:textId="77777777" w:rsidR="00A978F1" w:rsidRPr="00A978F1" w:rsidRDefault="00A978F1" w:rsidP="00C72233">
      <w:pPr>
        <w:jc w:val="both"/>
        <w:rPr>
          <w:b/>
          <w:bCs/>
          <w:sz w:val="24"/>
          <w:szCs w:val="24"/>
        </w:rPr>
      </w:pPr>
      <w:r w:rsidRPr="00A978F1">
        <w:rPr>
          <w:b/>
          <w:bCs/>
          <w:sz w:val="24"/>
          <w:szCs w:val="24"/>
        </w:rPr>
        <w:t>1.4 Dimensión Regulatoria: Cumplimiento y Estándares ESG</w:t>
      </w:r>
    </w:p>
    <w:p w14:paraId="20961EB8" w14:textId="77777777" w:rsidR="00A978F1" w:rsidRPr="00A978F1" w:rsidRDefault="00A978F1" w:rsidP="00C72233">
      <w:pPr>
        <w:jc w:val="both"/>
        <w:rPr>
          <w:sz w:val="24"/>
          <w:szCs w:val="24"/>
        </w:rPr>
      </w:pPr>
      <w:r w:rsidRPr="00A978F1">
        <w:rPr>
          <w:sz w:val="24"/>
          <w:szCs w:val="24"/>
        </w:rPr>
        <w:t xml:space="preserve">El entorno legal está en plena transformación. El </w:t>
      </w:r>
      <w:r w:rsidRPr="00A978F1">
        <w:rPr>
          <w:b/>
          <w:bCs/>
          <w:sz w:val="24"/>
          <w:szCs w:val="24"/>
        </w:rPr>
        <w:t xml:space="preserve">Reglamento de IA de la Unión Europea (AI </w:t>
      </w:r>
      <w:proofErr w:type="spellStart"/>
      <w:r w:rsidRPr="00A978F1">
        <w:rPr>
          <w:b/>
          <w:bCs/>
          <w:sz w:val="24"/>
          <w:szCs w:val="24"/>
        </w:rPr>
        <w:t>Act</w:t>
      </w:r>
      <w:proofErr w:type="spellEnd"/>
      <w:r w:rsidRPr="00A978F1">
        <w:rPr>
          <w:b/>
          <w:bCs/>
          <w:sz w:val="24"/>
          <w:szCs w:val="24"/>
        </w:rPr>
        <w:t>, 2024)</w:t>
      </w:r>
      <w:r w:rsidRPr="00A978F1">
        <w:rPr>
          <w:sz w:val="24"/>
          <w:szCs w:val="24"/>
        </w:rPr>
        <w:t xml:space="preserve"> y la Directiva CSRD exigen mayor transparencia sobre el impacto ambiental tecnológico.</w:t>
      </w:r>
    </w:p>
    <w:p w14:paraId="3A254CD7" w14:textId="77777777" w:rsidR="00A978F1" w:rsidRPr="00A978F1" w:rsidRDefault="00A978F1" w:rsidP="00C72233">
      <w:pPr>
        <w:jc w:val="both"/>
        <w:rPr>
          <w:sz w:val="24"/>
          <w:szCs w:val="24"/>
        </w:rPr>
      </w:pPr>
      <w:r w:rsidRPr="00A978F1">
        <w:rPr>
          <w:sz w:val="24"/>
          <w:szCs w:val="24"/>
        </w:rPr>
        <w:t xml:space="preserve">Nuestro sistema se alinea con la especificación </w:t>
      </w:r>
      <w:r w:rsidRPr="00A978F1">
        <w:rPr>
          <w:b/>
          <w:bCs/>
          <w:sz w:val="24"/>
          <w:szCs w:val="24"/>
        </w:rPr>
        <w:t xml:space="preserve">Software Carbon </w:t>
      </w:r>
      <w:proofErr w:type="spellStart"/>
      <w:r w:rsidRPr="00A978F1">
        <w:rPr>
          <w:b/>
          <w:bCs/>
          <w:sz w:val="24"/>
          <w:szCs w:val="24"/>
        </w:rPr>
        <w:t>Intensity</w:t>
      </w:r>
      <w:proofErr w:type="spellEnd"/>
      <w:r w:rsidRPr="00A978F1">
        <w:rPr>
          <w:b/>
          <w:bCs/>
          <w:sz w:val="24"/>
          <w:szCs w:val="24"/>
        </w:rPr>
        <w:t xml:space="preserve"> (SCI)</w:t>
      </w:r>
      <w:r w:rsidRPr="00A978F1">
        <w:rPr>
          <w:sz w:val="24"/>
          <w:szCs w:val="24"/>
        </w:rPr>
        <w:t xml:space="preserve"> de la </w:t>
      </w:r>
      <w:r w:rsidRPr="00A978F1">
        <w:rPr>
          <w:i/>
          <w:iCs/>
          <w:sz w:val="24"/>
          <w:szCs w:val="24"/>
        </w:rPr>
        <w:t xml:space="preserve">Green Software </w:t>
      </w:r>
      <w:proofErr w:type="spellStart"/>
      <w:r w:rsidRPr="00A978F1">
        <w:rPr>
          <w:i/>
          <w:iCs/>
          <w:sz w:val="24"/>
          <w:szCs w:val="24"/>
        </w:rPr>
        <w:t>Foundation</w:t>
      </w:r>
      <w:proofErr w:type="spellEnd"/>
      <w:r w:rsidRPr="00A978F1">
        <w:rPr>
          <w:sz w:val="24"/>
          <w:szCs w:val="24"/>
        </w:rPr>
        <w:t xml:space="preserve">. Al implementar estos estándares, </w:t>
      </w:r>
      <w:r w:rsidRPr="00A978F1">
        <w:rPr>
          <w:b/>
          <w:bCs/>
          <w:sz w:val="24"/>
          <w:szCs w:val="24"/>
        </w:rPr>
        <w:t>Semáforo IA</w:t>
      </w:r>
      <w:r w:rsidRPr="00A978F1">
        <w:rPr>
          <w:sz w:val="24"/>
          <w:szCs w:val="24"/>
        </w:rPr>
        <w:t xml:space="preserve"> no solo educa al usuario, sino que se posiciona como una herramienta de cumplimiento para organizaciones que deben reportar criterios </w:t>
      </w:r>
      <w:r w:rsidRPr="00A978F1">
        <w:rPr>
          <w:b/>
          <w:bCs/>
          <w:sz w:val="24"/>
          <w:szCs w:val="24"/>
        </w:rPr>
        <w:t>ESG</w:t>
      </w:r>
      <w:r w:rsidRPr="00A978F1">
        <w:rPr>
          <w:sz w:val="24"/>
          <w:szCs w:val="24"/>
        </w:rPr>
        <w:t xml:space="preserve"> (</w:t>
      </w:r>
      <w:proofErr w:type="spellStart"/>
      <w:r w:rsidRPr="00A978F1">
        <w:rPr>
          <w:sz w:val="24"/>
          <w:szCs w:val="24"/>
        </w:rPr>
        <w:t>Environmental</w:t>
      </w:r>
      <w:proofErr w:type="spellEnd"/>
      <w:r w:rsidRPr="00A978F1">
        <w:rPr>
          <w:sz w:val="24"/>
          <w:szCs w:val="24"/>
        </w:rPr>
        <w:t xml:space="preserve">, Social, and </w:t>
      </w:r>
      <w:proofErr w:type="spellStart"/>
      <w:r w:rsidRPr="00A978F1">
        <w:rPr>
          <w:sz w:val="24"/>
          <w:szCs w:val="24"/>
        </w:rPr>
        <w:t>Governance</w:t>
      </w:r>
      <w:proofErr w:type="spellEnd"/>
      <w:r w:rsidRPr="00A978F1">
        <w:rPr>
          <w:sz w:val="24"/>
          <w:szCs w:val="24"/>
        </w:rPr>
        <w:t>).</w:t>
      </w:r>
    </w:p>
    <w:p w14:paraId="44019F55" w14:textId="77777777" w:rsidR="00A978F1" w:rsidRPr="00A978F1" w:rsidRDefault="00A978F1" w:rsidP="00C72233">
      <w:pPr>
        <w:jc w:val="both"/>
        <w:rPr>
          <w:b/>
          <w:bCs/>
          <w:sz w:val="24"/>
          <w:szCs w:val="24"/>
        </w:rPr>
      </w:pPr>
      <w:r w:rsidRPr="00A978F1">
        <w:rPr>
          <w:b/>
          <w:bCs/>
          <w:sz w:val="24"/>
          <w:szCs w:val="24"/>
        </w:rPr>
        <w:t xml:space="preserve">1.5 Dimensión Social: Adopción y Teoría del </w:t>
      </w:r>
      <w:proofErr w:type="spellStart"/>
      <w:r w:rsidRPr="00A978F1">
        <w:rPr>
          <w:b/>
          <w:bCs/>
          <w:sz w:val="24"/>
          <w:szCs w:val="24"/>
        </w:rPr>
        <w:t>Nudge</w:t>
      </w:r>
      <w:proofErr w:type="spellEnd"/>
    </w:p>
    <w:p w14:paraId="0D4A67CF" w14:textId="77777777" w:rsidR="00A978F1" w:rsidRPr="00A978F1" w:rsidRDefault="00A978F1" w:rsidP="00C72233">
      <w:pPr>
        <w:jc w:val="both"/>
        <w:rPr>
          <w:sz w:val="24"/>
          <w:szCs w:val="24"/>
        </w:rPr>
      </w:pPr>
      <w:r w:rsidRPr="00A978F1">
        <w:rPr>
          <w:sz w:val="24"/>
          <w:szCs w:val="24"/>
        </w:rPr>
        <w:t xml:space="preserve">Utilizando la </w:t>
      </w:r>
      <w:r w:rsidRPr="00A978F1">
        <w:rPr>
          <w:b/>
          <w:bCs/>
          <w:sz w:val="24"/>
          <w:szCs w:val="24"/>
        </w:rPr>
        <w:t>Teoría de Aceptación Tecnológica (TAM)</w:t>
      </w:r>
      <w:r w:rsidRPr="00A978F1">
        <w:rPr>
          <w:sz w:val="24"/>
          <w:szCs w:val="24"/>
        </w:rPr>
        <w:t xml:space="preserve">, el proyecto maximiza la "facilidad de uso" mediante una interfaz de semáforo (Verde, Amarillo, Rojo). Esta simplificación visual aplica principios de </w:t>
      </w:r>
      <w:proofErr w:type="spellStart"/>
      <w:r w:rsidRPr="00A978F1">
        <w:rPr>
          <w:i/>
          <w:iCs/>
          <w:sz w:val="24"/>
          <w:szCs w:val="24"/>
        </w:rPr>
        <w:t>nudge</w:t>
      </w:r>
      <w:proofErr w:type="spellEnd"/>
      <w:r w:rsidRPr="00A978F1">
        <w:rPr>
          <w:i/>
          <w:iCs/>
          <w:sz w:val="24"/>
          <w:szCs w:val="24"/>
        </w:rPr>
        <w:t xml:space="preserve"> </w:t>
      </w:r>
      <w:proofErr w:type="spellStart"/>
      <w:r w:rsidRPr="00A978F1">
        <w:rPr>
          <w:i/>
          <w:iCs/>
          <w:sz w:val="24"/>
          <w:szCs w:val="24"/>
        </w:rPr>
        <w:t>theory</w:t>
      </w:r>
      <w:proofErr w:type="spellEnd"/>
      <w:r w:rsidRPr="00A978F1">
        <w:rPr>
          <w:sz w:val="24"/>
          <w:szCs w:val="24"/>
        </w:rPr>
        <w:t xml:space="preserve"> (teoría del empujoncito) para modificar el comportamiento del usuario sin requerir conocimientos técnicos profundos.</w:t>
      </w:r>
    </w:p>
    <w:p w14:paraId="7A7D2133" w14:textId="77777777" w:rsidR="00A978F1" w:rsidRPr="00A978F1" w:rsidRDefault="00A978F1" w:rsidP="00C72233">
      <w:pPr>
        <w:jc w:val="both"/>
        <w:rPr>
          <w:sz w:val="24"/>
          <w:szCs w:val="24"/>
        </w:rPr>
      </w:pPr>
      <w:r w:rsidRPr="00A978F1">
        <w:rPr>
          <w:sz w:val="24"/>
          <w:szCs w:val="24"/>
        </w:rPr>
        <w:t>Los sectores identificados para una adopción temprana incluyen:</w:t>
      </w:r>
    </w:p>
    <w:p w14:paraId="2D6F99CA" w14:textId="77777777" w:rsidR="00A978F1" w:rsidRPr="00A978F1" w:rsidRDefault="00A978F1" w:rsidP="00C72233">
      <w:pPr>
        <w:numPr>
          <w:ilvl w:val="0"/>
          <w:numId w:val="7"/>
        </w:numPr>
        <w:jc w:val="both"/>
        <w:rPr>
          <w:sz w:val="24"/>
          <w:szCs w:val="24"/>
        </w:rPr>
      </w:pPr>
      <w:r w:rsidRPr="00A978F1">
        <w:rPr>
          <w:b/>
          <w:bCs/>
          <w:sz w:val="24"/>
          <w:szCs w:val="24"/>
        </w:rPr>
        <w:t>Academia:</w:t>
      </w:r>
      <w:r w:rsidRPr="00A978F1">
        <w:rPr>
          <w:sz w:val="24"/>
          <w:szCs w:val="24"/>
        </w:rPr>
        <w:t xml:space="preserve"> Alta sensibilidad a la sostenibilidad.</w:t>
      </w:r>
    </w:p>
    <w:p w14:paraId="2D6BA264" w14:textId="77777777" w:rsidR="00A978F1" w:rsidRPr="00A978F1" w:rsidRDefault="00A978F1" w:rsidP="00C72233">
      <w:pPr>
        <w:numPr>
          <w:ilvl w:val="0"/>
          <w:numId w:val="7"/>
        </w:numPr>
        <w:jc w:val="both"/>
        <w:rPr>
          <w:sz w:val="24"/>
          <w:szCs w:val="24"/>
        </w:rPr>
      </w:pPr>
      <w:r w:rsidRPr="00A978F1">
        <w:rPr>
          <w:b/>
          <w:bCs/>
          <w:sz w:val="24"/>
          <w:szCs w:val="24"/>
        </w:rPr>
        <w:t>Corporativo:</w:t>
      </w:r>
      <w:r w:rsidRPr="00A978F1">
        <w:rPr>
          <w:sz w:val="24"/>
          <w:szCs w:val="24"/>
        </w:rPr>
        <w:t xml:space="preserve"> Necesidad de reportes de sostenibilidad y ventaja competitiva.</w:t>
      </w:r>
    </w:p>
    <w:p w14:paraId="15419F29" w14:textId="77777777" w:rsidR="00A978F1" w:rsidRPr="00A978F1" w:rsidRDefault="00A978F1" w:rsidP="00C72233">
      <w:pPr>
        <w:numPr>
          <w:ilvl w:val="0"/>
          <w:numId w:val="7"/>
        </w:numPr>
        <w:jc w:val="both"/>
        <w:rPr>
          <w:sz w:val="24"/>
          <w:szCs w:val="24"/>
        </w:rPr>
      </w:pPr>
      <w:r w:rsidRPr="00A978F1">
        <w:rPr>
          <w:b/>
          <w:bCs/>
          <w:sz w:val="24"/>
          <w:szCs w:val="24"/>
        </w:rPr>
        <w:t>Gubernamental:</w:t>
      </w:r>
      <w:r w:rsidRPr="00A978F1">
        <w:rPr>
          <w:sz w:val="24"/>
          <w:szCs w:val="24"/>
        </w:rPr>
        <w:t xml:space="preserve"> Sujeto a normativas de transparencia proactiva.</w:t>
      </w:r>
    </w:p>
    <w:p w14:paraId="1183B0A7" w14:textId="4BCE6DD3" w:rsidR="00A978F1" w:rsidRPr="00A978F1" w:rsidRDefault="00A978F1" w:rsidP="00C72233">
      <w:pPr>
        <w:jc w:val="both"/>
        <w:rPr>
          <w:sz w:val="24"/>
          <w:szCs w:val="24"/>
        </w:rPr>
      </w:pPr>
    </w:p>
    <w:p w14:paraId="041CB876" w14:textId="77777777" w:rsidR="00A978F1" w:rsidRPr="00A978F1" w:rsidRDefault="00A978F1" w:rsidP="00C72233">
      <w:pPr>
        <w:jc w:val="both"/>
        <w:rPr>
          <w:b/>
          <w:bCs/>
          <w:sz w:val="24"/>
          <w:szCs w:val="24"/>
        </w:rPr>
      </w:pPr>
      <w:r w:rsidRPr="00A978F1">
        <w:rPr>
          <w:b/>
          <w:bCs/>
          <w:sz w:val="24"/>
          <w:szCs w:val="24"/>
        </w:rPr>
        <w:lastRenderedPageBreak/>
        <w:t>2. Diagrama de Ishikawa (Causa-Efecto)</w:t>
      </w:r>
    </w:p>
    <w:p w14:paraId="5CDD2669" w14:textId="77777777" w:rsidR="00A978F1" w:rsidRPr="00C72233" w:rsidRDefault="00A978F1" w:rsidP="00C72233">
      <w:pPr>
        <w:jc w:val="both"/>
        <w:rPr>
          <w:sz w:val="24"/>
          <w:szCs w:val="24"/>
        </w:rPr>
      </w:pPr>
      <w:r w:rsidRPr="00A978F1">
        <w:rPr>
          <w:sz w:val="24"/>
          <w:szCs w:val="24"/>
        </w:rPr>
        <w:t xml:space="preserve">El siguiente diagrama organiza las causas raíz que contribuyen a la dificultad de medir el impacto real de la IA. El efecto central es la </w:t>
      </w:r>
      <w:r w:rsidRPr="00A978F1">
        <w:rPr>
          <w:b/>
          <w:bCs/>
          <w:sz w:val="24"/>
          <w:szCs w:val="24"/>
        </w:rPr>
        <w:t>"Invisibilidad del impacto económico y medioambiental del uso de IA"</w:t>
      </w:r>
      <w:r w:rsidRPr="00A978F1">
        <w:rPr>
          <w:sz w:val="24"/>
          <w:szCs w:val="24"/>
        </w:rPr>
        <w:t>.</w:t>
      </w:r>
    </w:p>
    <w:p w14:paraId="42805363" w14:textId="77777777" w:rsidR="00D52518" w:rsidRDefault="00D52518" w:rsidP="00A978F1">
      <w:pPr>
        <w:jc w:val="both"/>
      </w:pPr>
    </w:p>
    <w:p w14:paraId="7105D0F6" w14:textId="716AC5DA" w:rsidR="00D52518" w:rsidRDefault="00D52518" w:rsidP="00A978F1">
      <w:pPr>
        <w:jc w:val="both"/>
      </w:pPr>
      <w:r w:rsidRPr="00D52518">
        <w:drawing>
          <wp:anchor distT="0" distB="0" distL="114300" distR="114300" simplePos="0" relativeHeight="251659264" behindDoc="0" locked="0" layoutInCell="1" allowOverlap="1" wp14:anchorId="4BA3DAB0" wp14:editId="51C75869">
            <wp:simplePos x="0" y="0"/>
            <wp:positionH relativeFrom="margin">
              <wp:posOffset>812800</wp:posOffset>
            </wp:positionH>
            <wp:positionV relativeFrom="paragraph">
              <wp:posOffset>93980</wp:posOffset>
            </wp:positionV>
            <wp:extent cx="3947160" cy="2409825"/>
            <wp:effectExtent l="0" t="0" r="0" b="9525"/>
            <wp:wrapSquare wrapText="bothSides"/>
            <wp:docPr id="1173608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08662" name=""/>
                    <pic:cNvPicPr/>
                  </pic:nvPicPr>
                  <pic:blipFill>
                    <a:blip r:embed="rId5"/>
                    <a:stretch>
                      <a:fillRect/>
                    </a:stretch>
                  </pic:blipFill>
                  <pic:spPr>
                    <a:xfrm>
                      <a:off x="0" y="0"/>
                      <a:ext cx="3947160" cy="2409825"/>
                    </a:xfrm>
                    <a:prstGeom prst="rect">
                      <a:avLst/>
                    </a:prstGeom>
                  </pic:spPr>
                </pic:pic>
              </a:graphicData>
            </a:graphic>
            <wp14:sizeRelH relativeFrom="margin">
              <wp14:pctWidth>0</wp14:pctWidth>
            </wp14:sizeRelH>
            <wp14:sizeRelV relativeFrom="margin">
              <wp14:pctHeight>0</wp14:pctHeight>
            </wp14:sizeRelV>
          </wp:anchor>
        </w:drawing>
      </w:r>
    </w:p>
    <w:p w14:paraId="18557255" w14:textId="186CEA9D" w:rsidR="0089004B" w:rsidRDefault="0089004B" w:rsidP="00A978F1">
      <w:pPr>
        <w:jc w:val="both"/>
      </w:pPr>
    </w:p>
    <w:p w14:paraId="7C99B44A" w14:textId="4CAEDF4E" w:rsidR="0089004B" w:rsidRDefault="0089004B" w:rsidP="00A978F1">
      <w:pPr>
        <w:jc w:val="both"/>
      </w:pPr>
    </w:p>
    <w:p w14:paraId="2156C689" w14:textId="5312E640" w:rsidR="0089004B" w:rsidRDefault="0089004B" w:rsidP="00A978F1">
      <w:pPr>
        <w:jc w:val="both"/>
      </w:pPr>
    </w:p>
    <w:p w14:paraId="5C4E46A7" w14:textId="33161685" w:rsidR="0089004B" w:rsidRDefault="0089004B" w:rsidP="00A978F1">
      <w:pPr>
        <w:jc w:val="both"/>
      </w:pPr>
    </w:p>
    <w:p w14:paraId="15A17341" w14:textId="6700C95C" w:rsidR="0089004B" w:rsidRDefault="0089004B" w:rsidP="00A978F1">
      <w:pPr>
        <w:jc w:val="both"/>
      </w:pPr>
    </w:p>
    <w:p w14:paraId="41993CAD" w14:textId="77777777" w:rsidR="0089004B" w:rsidRDefault="0089004B" w:rsidP="00A978F1">
      <w:pPr>
        <w:jc w:val="both"/>
      </w:pPr>
    </w:p>
    <w:p w14:paraId="1D859AE9" w14:textId="3E52C2FF" w:rsidR="0089004B" w:rsidRDefault="0089004B" w:rsidP="00A978F1">
      <w:pPr>
        <w:jc w:val="both"/>
      </w:pPr>
    </w:p>
    <w:p w14:paraId="4352C7F8" w14:textId="77777777" w:rsidR="0089004B" w:rsidRDefault="0089004B" w:rsidP="00A978F1">
      <w:pPr>
        <w:jc w:val="both"/>
      </w:pPr>
    </w:p>
    <w:p w14:paraId="59D6C295" w14:textId="77777777" w:rsidR="0089004B" w:rsidRDefault="0089004B" w:rsidP="00A978F1">
      <w:pPr>
        <w:jc w:val="both"/>
      </w:pPr>
    </w:p>
    <w:p w14:paraId="069C0E75" w14:textId="77777777" w:rsidR="0089004B" w:rsidRPr="00A978F1" w:rsidRDefault="0089004B" w:rsidP="00A978F1">
      <w:pPr>
        <w:jc w:val="both"/>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3665"/>
        <w:gridCol w:w="4253"/>
      </w:tblGrid>
      <w:tr w:rsidR="0089004B" w14:paraId="2A1AB9D2" w14:textId="77777777" w:rsidTr="00081158">
        <w:tc>
          <w:tcPr>
            <w:tcW w:w="0" w:type="auto"/>
            <w:tcBorders>
              <w:top w:val="single" w:sz="4" w:space="0" w:color="B0BEC5"/>
              <w:left w:val="single" w:sz="4" w:space="0" w:color="B0BEC5"/>
              <w:bottom w:val="single" w:sz="4" w:space="0" w:color="B0BEC5"/>
              <w:right w:val="single" w:sz="4" w:space="0" w:color="B0BEC5"/>
            </w:tcBorders>
            <w:shd w:val="clear" w:color="auto" w:fill="263238"/>
            <w:tcMar>
              <w:top w:w="100" w:type="dxa"/>
              <w:left w:w="140" w:type="dxa"/>
              <w:bottom w:w="100" w:type="dxa"/>
              <w:right w:w="100" w:type="dxa"/>
            </w:tcMar>
            <w:vAlign w:val="center"/>
          </w:tcPr>
          <w:p w14:paraId="6EED7680" w14:textId="77777777" w:rsidR="0089004B" w:rsidRDefault="0089004B" w:rsidP="00081158">
            <w:pPr>
              <w:jc w:val="center"/>
            </w:pPr>
            <w:r>
              <w:rPr>
                <w:b/>
                <w:bCs/>
                <w:color w:val="FFFFFF"/>
                <w:sz w:val="19"/>
                <w:szCs w:val="19"/>
              </w:rPr>
              <w:t>Categoría</w:t>
            </w:r>
          </w:p>
        </w:tc>
        <w:tc>
          <w:tcPr>
            <w:tcW w:w="0" w:type="auto"/>
            <w:tcBorders>
              <w:top w:val="single" w:sz="4" w:space="0" w:color="B0BEC5"/>
              <w:left w:val="single" w:sz="4" w:space="0" w:color="B0BEC5"/>
              <w:bottom w:val="single" w:sz="4" w:space="0" w:color="B0BEC5"/>
              <w:right w:val="single" w:sz="4" w:space="0" w:color="B0BEC5"/>
            </w:tcBorders>
            <w:shd w:val="clear" w:color="auto" w:fill="263238"/>
            <w:tcMar>
              <w:top w:w="100" w:type="dxa"/>
              <w:left w:w="140" w:type="dxa"/>
              <w:bottom w:w="100" w:type="dxa"/>
              <w:right w:w="100" w:type="dxa"/>
            </w:tcMar>
            <w:vAlign w:val="center"/>
          </w:tcPr>
          <w:p w14:paraId="26E801EA" w14:textId="77777777" w:rsidR="0089004B" w:rsidRDefault="0089004B" w:rsidP="00081158">
            <w:pPr>
              <w:jc w:val="center"/>
            </w:pPr>
            <w:r>
              <w:rPr>
                <w:b/>
                <w:bCs/>
                <w:color w:val="FFFFFF"/>
                <w:sz w:val="19"/>
                <w:szCs w:val="19"/>
              </w:rPr>
              <w:t>Causas clave</w:t>
            </w:r>
          </w:p>
        </w:tc>
        <w:tc>
          <w:tcPr>
            <w:tcW w:w="0" w:type="auto"/>
            <w:tcBorders>
              <w:top w:val="single" w:sz="4" w:space="0" w:color="B0BEC5"/>
              <w:left w:val="single" w:sz="4" w:space="0" w:color="B0BEC5"/>
              <w:bottom w:val="single" w:sz="4" w:space="0" w:color="B0BEC5"/>
              <w:right w:val="single" w:sz="4" w:space="0" w:color="B0BEC5"/>
            </w:tcBorders>
            <w:shd w:val="clear" w:color="auto" w:fill="263238"/>
            <w:tcMar>
              <w:top w:w="100" w:type="dxa"/>
              <w:left w:w="140" w:type="dxa"/>
              <w:bottom w:w="100" w:type="dxa"/>
              <w:right w:w="100" w:type="dxa"/>
            </w:tcMar>
            <w:vAlign w:val="center"/>
          </w:tcPr>
          <w:p w14:paraId="2D9E39C3" w14:textId="77777777" w:rsidR="0089004B" w:rsidRDefault="0089004B" w:rsidP="00081158">
            <w:pPr>
              <w:jc w:val="center"/>
            </w:pPr>
            <w:r>
              <w:rPr>
                <w:b/>
                <w:bCs/>
                <w:color w:val="FFFFFF"/>
                <w:sz w:val="19"/>
                <w:szCs w:val="19"/>
              </w:rPr>
              <w:t>Impacto en el problema</w:t>
            </w:r>
          </w:p>
        </w:tc>
      </w:tr>
      <w:tr w:rsidR="0089004B" w14:paraId="190CB27E" w14:textId="77777777" w:rsidTr="00081158">
        <w:tc>
          <w:tcPr>
            <w:tcW w:w="0" w:type="auto"/>
            <w:tcBorders>
              <w:top w:val="single" w:sz="4" w:space="0" w:color="B0BEC5"/>
              <w:left w:val="single" w:sz="4" w:space="0" w:color="B0BEC5"/>
              <w:bottom w:val="single" w:sz="4" w:space="0" w:color="B0BEC5"/>
              <w:right w:val="single" w:sz="4" w:space="0" w:color="B0BEC5"/>
            </w:tcBorders>
            <w:shd w:val="clear" w:color="auto" w:fill="1565C0"/>
            <w:tcMar>
              <w:top w:w="100" w:type="dxa"/>
              <w:left w:w="140" w:type="dxa"/>
              <w:bottom w:w="100" w:type="dxa"/>
              <w:right w:w="100" w:type="dxa"/>
            </w:tcMar>
            <w:vAlign w:val="center"/>
          </w:tcPr>
          <w:p w14:paraId="5E5767CE" w14:textId="77777777" w:rsidR="0089004B" w:rsidRDefault="0089004B" w:rsidP="00081158">
            <w:pPr>
              <w:jc w:val="center"/>
            </w:pPr>
            <w:r>
              <w:rPr>
                <w:b/>
                <w:bCs/>
                <w:color w:val="FFFFFF"/>
                <w:sz w:val="19"/>
                <w:szCs w:val="19"/>
              </w:rPr>
              <w:t>Datos e Infraestructura</w:t>
            </w:r>
          </w:p>
        </w:tc>
        <w:tc>
          <w:tcPr>
            <w:tcW w:w="0" w:type="auto"/>
            <w:tcBorders>
              <w:top w:val="single" w:sz="4" w:space="0" w:color="B0BEC5"/>
              <w:left w:val="single" w:sz="4" w:space="0" w:color="B0BEC5"/>
              <w:bottom w:val="single" w:sz="4" w:space="0" w:color="B0BEC5"/>
              <w:right w:val="single" w:sz="4" w:space="0" w:color="B0BEC5"/>
            </w:tcBorders>
            <w:shd w:val="clear" w:color="auto" w:fill="F9F9F9"/>
            <w:tcMar>
              <w:top w:w="80" w:type="dxa"/>
              <w:left w:w="140" w:type="dxa"/>
              <w:bottom w:w="80" w:type="dxa"/>
              <w:right w:w="100" w:type="dxa"/>
            </w:tcMar>
          </w:tcPr>
          <w:p w14:paraId="5A3644B8" w14:textId="77777777" w:rsidR="0089004B" w:rsidRDefault="0089004B" w:rsidP="00081158">
            <w:pPr>
              <w:jc w:val="both"/>
            </w:pPr>
            <w:r>
              <w:rPr>
                <w:color w:val="212121"/>
                <w:sz w:val="19"/>
                <w:szCs w:val="19"/>
              </w:rPr>
              <w:t xml:space="preserve">Opacidad </w:t>
            </w:r>
            <w:proofErr w:type="spellStart"/>
            <w:r>
              <w:rPr>
                <w:color w:val="212121"/>
                <w:sz w:val="19"/>
                <w:szCs w:val="19"/>
              </w:rPr>
              <w:t>cloud</w:t>
            </w:r>
            <w:proofErr w:type="spellEnd"/>
            <w:r>
              <w:rPr>
                <w:color w:val="212121"/>
                <w:sz w:val="19"/>
                <w:szCs w:val="19"/>
              </w:rPr>
              <w:t xml:space="preserve">, sin </w:t>
            </w:r>
            <w:proofErr w:type="spellStart"/>
            <w:r>
              <w:rPr>
                <w:color w:val="212121"/>
                <w:sz w:val="19"/>
                <w:szCs w:val="19"/>
              </w:rPr>
              <w:t>APIs</w:t>
            </w:r>
            <w:proofErr w:type="spellEnd"/>
            <w:r>
              <w:rPr>
                <w:color w:val="212121"/>
                <w:sz w:val="19"/>
                <w:szCs w:val="19"/>
              </w:rPr>
              <w:t xml:space="preserve"> de consumo, entornos </w:t>
            </w:r>
            <w:proofErr w:type="spellStart"/>
            <w:r>
              <w:rPr>
                <w:color w:val="212121"/>
                <w:sz w:val="19"/>
                <w:szCs w:val="19"/>
              </w:rPr>
              <w:t>serverless</w:t>
            </w:r>
            <w:proofErr w:type="spellEnd"/>
          </w:p>
        </w:tc>
        <w:tc>
          <w:tcPr>
            <w:tcW w:w="0" w:type="auto"/>
            <w:tcBorders>
              <w:top w:val="single" w:sz="4" w:space="0" w:color="B0BEC5"/>
              <w:left w:val="single" w:sz="4" w:space="0" w:color="B0BEC5"/>
              <w:bottom w:val="single" w:sz="4" w:space="0" w:color="B0BEC5"/>
              <w:right w:val="single" w:sz="4" w:space="0" w:color="B0BEC5"/>
            </w:tcBorders>
            <w:shd w:val="clear" w:color="auto" w:fill="FFFFFF"/>
            <w:tcMar>
              <w:top w:w="80" w:type="dxa"/>
              <w:left w:w="140" w:type="dxa"/>
              <w:bottom w:w="80" w:type="dxa"/>
              <w:right w:w="100" w:type="dxa"/>
            </w:tcMar>
          </w:tcPr>
          <w:p w14:paraId="6EF71C7C" w14:textId="77777777" w:rsidR="0089004B" w:rsidRDefault="0089004B" w:rsidP="00081158">
            <w:pPr>
              <w:jc w:val="both"/>
            </w:pPr>
            <w:r>
              <w:rPr>
                <w:color w:val="212121"/>
                <w:sz w:val="19"/>
                <w:szCs w:val="19"/>
              </w:rPr>
              <w:t>Barrera técnica fundamental: impide obtener datos energéticos reales por proceso.</w:t>
            </w:r>
          </w:p>
        </w:tc>
      </w:tr>
      <w:tr w:rsidR="0089004B" w14:paraId="6A51B8BC" w14:textId="77777777" w:rsidTr="00081158">
        <w:tc>
          <w:tcPr>
            <w:tcW w:w="0" w:type="auto"/>
            <w:tcBorders>
              <w:top w:val="single" w:sz="4" w:space="0" w:color="B0BEC5"/>
              <w:left w:val="single" w:sz="4" w:space="0" w:color="B0BEC5"/>
              <w:bottom w:val="single" w:sz="4" w:space="0" w:color="B0BEC5"/>
              <w:right w:val="single" w:sz="4" w:space="0" w:color="B0BEC5"/>
            </w:tcBorders>
            <w:shd w:val="clear" w:color="auto" w:fill="6A1B9A"/>
            <w:tcMar>
              <w:top w:w="100" w:type="dxa"/>
              <w:left w:w="140" w:type="dxa"/>
              <w:bottom w:w="100" w:type="dxa"/>
              <w:right w:w="100" w:type="dxa"/>
            </w:tcMar>
            <w:vAlign w:val="center"/>
          </w:tcPr>
          <w:p w14:paraId="17283F8D" w14:textId="77777777" w:rsidR="0089004B" w:rsidRDefault="0089004B" w:rsidP="00081158">
            <w:pPr>
              <w:jc w:val="center"/>
            </w:pPr>
            <w:r>
              <w:rPr>
                <w:b/>
                <w:bCs/>
                <w:color w:val="FFFFFF"/>
                <w:sz w:val="19"/>
                <w:szCs w:val="19"/>
              </w:rPr>
              <w:t>Estándares y Regulación</w:t>
            </w:r>
          </w:p>
        </w:tc>
        <w:tc>
          <w:tcPr>
            <w:tcW w:w="0" w:type="auto"/>
            <w:tcBorders>
              <w:top w:val="single" w:sz="4" w:space="0" w:color="B0BEC5"/>
              <w:left w:val="single" w:sz="4" w:space="0" w:color="B0BEC5"/>
              <w:bottom w:val="single" w:sz="4" w:space="0" w:color="B0BEC5"/>
              <w:right w:val="single" w:sz="4" w:space="0" w:color="B0BEC5"/>
            </w:tcBorders>
            <w:shd w:val="clear" w:color="auto" w:fill="F9F9F9"/>
            <w:tcMar>
              <w:top w:w="80" w:type="dxa"/>
              <w:left w:w="140" w:type="dxa"/>
              <w:bottom w:w="80" w:type="dxa"/>
              <w:right w:w="100" w:type="dxa"/>
            </w:tcMar>
          </w:tcPr>
          <w:p w14:paraId="7E1ACB67" w14:textId="77777777" w:rsidR="0089004B" w:rsidRDefault="0089004B" w:rsidP="00081158">
            <w:pPr>
              <w:jc w:val="both"/>
            </w:pPr>
            <w:r>
              <w:rPr>
                <w:color w:val="212121"/>
                <w:sz w:val="19"/>
                <w:szCs w:val="19"/>
              </w:rPr>
              <w:t>Sin normas unificadas, regulación incipiente, reporte no obligatorio</w:t>
            </w:r>
          </w:p>
        </w:tc>
        <w:tc>
          <w:tcPr>
            <w:tcW w:w="0" w:type="auto"/>
            <w:tcBorders>
              <w:top w:val="single" w:sz="4" w:space="0" w:color="B0BEC5"/>
              <w:left w:val="single" w:sz="4" w:space="0" w:color="B0BEC5"/>
              <w:bottom w:val="single" w:sz="4" w:space="0" w:color="B0BEC5"/>
              <w:right w:val="single" w:sz="4" w:space="0" w:color="B0BEC5"/>
            </w:tcBorders>
            <w:shd w:val="clear" w:color="auto" w:fill="FFFFFF"/>
            <w:tcMar>
              <w:top w:w="80" w:type="dxa"/>
              <w:left w:w="140" w:type="dxa"/>
              <w:bottom w:w="80" w:type="dxa"/>
              <w:right w:w="100" w:type="dxa"/>
            </w:tcMar>
          </w:tcPr>
          <w:p w14:paraId="64FA1DAF" w14:textId="77777777" w:rsidR="0089004B" w:rsidRDefault="0089004B" w:rsidP="00081158">
            <w:pPr>
              <w:jc w:val="both"/>
            </w:pPr>
            <w:r>
              <w:rPr>
                <w:color w:val="212121"/>
                <w:sz w:val="19"/>
                <w:szCs w:val="19"/>
              </w:rPr>
              <w:t>Genera heterogeneidad metodológica e impide comparar resultados entre organizaciones.</w:t>
            </w:r>
          </w:p>
        </w:tc>
      </w:tr>
      <w:tr w:rsidR="0089004B" w14:paraId="3EA1A8B8" w14:textId="77777777" w:rsidTr="00081158">
        <w:tc>
          <w:tcPr>
            <w:tcW w:w="0" w:type="auto"/>
            <w:tcBorders>
              <w:top w:val="single" w:sz="4" w:space="0" w:color="B0BEC5"/>
              <w:left w:val="single" w:sz="4" w:space="0" w:color="B0BEC5"/>
              <w:bottom w:val="single" w:sz="4" w:space="0" w:color="B0BEC5"/>
              <w:right w:val="single" w:sz="4" w:space="0" w:color="B0BEC5"/>
            </w:tcBorders>
            <w:shd w:val="clear" w:color="auto" w:fill="00695C"/>
            <w:tcMar>
              <w:top w:w="100" w:type="dxa"/>
              <w:left w:w="140" w:type="dxa"/>
              <w:bottom w:w="100" w:type="dxa"/>
              <w:right w:w="100" w:type="dxa"/>
            </w:tcMar>
            <w:vAlign w:val="center"/>
          </w:tcPr>
          <w:p w14:paraId="5C28EF4B" w14:textId="77777777" w:rsidR="0089004B" w:rsidRDefault="0089004B" w:rsidP="00081158">
            <w:pPr>
              <w:jc w:val="center"/>
            </w:pPr>
            <w:r>
              <w:rPr>
                <w:b/>
                <w:bCs/>
                <w:color w:val="FFFFFF"/>
                <w:sz w:val="19"/>
                <w:szCs w:val="19"/>
              </w:rPr>
              <w:t>Tecnología y Modelos</w:t>
            </w:r>
          </w:p>
        </w:tc>
        <w:tc>
          <w:tcPr>
            <w:tcW w:w="0" w:type="auto"/>
            <w:tcBorders>
              <w:top w:val="single" w:sz="4" w:space="0" w:color="B0BEC5"/>
              <w:left w:val="single" w:sz="4" w:space="0" w:color="B0BEC5"/>
              <w:bottom w:val="single" w:sz="4" w:space="0" w:color="B0BEC5"/>
              <w:right w:val="single" w:sz="4" w:space="0" w:color="B0BEC5"/>
            </w:tcBorders>
            <w:shd w:val="clear" w:color="auto" w:fill="F9F9F9"/>
            <w:tcMar>
              <w:top w:w="80" w:type="dxa"/>
              <w:left w:w="140" w:type="dxa"/>
              <w:bottom w:w="80" w:type="dxa"/>
              <w:right w:w="100" w:type="dxa"/>
            </w:tcMar>
          </w:tcPr>
          <w:p w14:paraId="2970F8C6" w14:textId="77777777" w:rsidR="0089004B" w:rsidRDefault="0089004B" w:rsidP="00081158">
            <w:pPr>
              <w:jc w:val="both"/>
            </w:pPr>
            <w:r>
              <w:rPr>
                <w:color w:val="212121"/>
                <w:sz w:val="19"/>
                <w:szCs w:val="19"/>
              </w:rPr>
              <w:t>Evolución rápida de IA, modelos cerrados, diversidad de hardware</w:t>
            </w:r>
          </w:p>
        </w:tc>
        <w:tc>
          <w:tcPr>
            <w:tcW w:w="0" w:type="auto"/>
            <w:tcBorders>
              <w:top w:val="single" w:sz="4" w:space="0" w:color="B0BEC5"/>
              <w:left w:val="single" w:sz="4" w:space="0" w:color="B0BEC5"/>
              <w:bottom w:val="single" w:sz="4" w:space="0" w:color="B0BEC5"/>
              <w:right w:val="single" w:sz="4" w:space="0" w:color="B0BEC5"/>
            </w:tcBorders>
            <w:shd w:val="clear" w:color="auto" w:fill="FFFFFF"/>
            <w:tcMar>
              <w:top w:w="80" w:type="dxa"/>
              <w:left w:w="140" w:type="dxa"/>
              <w:bottom w:w="80" w:type="dxa"/>
              <w:right w:w="100" w:type="dxa"/>
            </w:tcMar>
          </w:tcPr>
          <w:p w14:paraId="6E048650" w14:textId="77777777" w:rsidR="0089004B" w:rsidRDefault="0089004B" w:rsidP="00081158">
            <w:pPr>
              <w:jc w:val="both"/>
            </w:pPr>
            <w:r>
              <w:rPr>
                <w:color w:val="212121"/>
                <w:sz w:val="19"/>
                <w:szCs w:val="19"/>
              </w:rPr>
              <w:t>Dificulta construir estimadores generalizables ante nuevas arquitecturas.</w:t>
            </w:r>
          </w:p>
        </w:tc>
      </w:tr>
      <w:tr w:rsidR="0089004B" w14:paraId="5AA932DE" w14:textId="77777777" w:rsidTr="00081158">
        <w:tc>
          <w:tcPr>
            <w:tcW w:w="0" w:type="auto"/>
            <w:tcBorders>
              <w:top w:val="single" w:sz="4" w:space="0" w:color="B0BEC5"/>
              <w:left w:val="single" w:sz="4" w:space="0" w:color="B0BEC5"/>
              <w:bottom w:val="single" w:sz="4" w:space="0" w:color="B0BEC5"/>
              <w:right w:val="single" w:sz="4" w:space="0" w:color="B0BEC5"/>
            </w:tcBorders>
            <w:shd w:val="clear" w:color="auto" w:fill="E65100"/>
            <w:tcMar>
              <w:top w:w="100" w:type="dxa"/>
              <w:left w:w="140" w:type="dxa"/>
              <w:bottom w:w="100" w:type="dxa"/>
              <w:right w:w="100" w:type="dxa"/>
            </w:tcMar>
            <w:vAlign w:val="center"/>
          </w:tcPr>
          <w:p w14:paraId="5AD265D8" w14:textId="77777777" w:rsidR="0089004B" w:rsidRDefault="0089004B" w:rsidP="00081158">
            <w:pPr>
              <w:jc w:val="center"/>
            </w:pPr>
            <w:r>
              <w:rPr>
                <w:b/>
                <w:bCs/>
                <w:color w:val="FFFFFF"/>
                <w:sz w:val="19"/>
                <w:szCs w:val="19"/>
              </w:rPr>
              <w:t>Factores Humanos</w:t>
            </w:r>
          </w:p>
        </w:tc>
        <w:tc>
          <w:tcPr>
            <w:tcW w:w="0" w:type="auto"/>
            <w:tcBorders>
              <w:top w:val="single" w:sz="4" w:space="0" w:color="B0BEC5"/>
              <w:left w:val="single" w:sz="4" w:space="0" w:color="B0BEC5"/>
              <w:bottom w:val="single" w:sz="4" w:space="0" w:color="B0BEC5"/>
              <w:right w:val="single" w:sz="4" w:space="0" w:color="B0BEC5"/>
            </w:tcBorders>
            <w:shd w:val="clear" w:color="auto" w:fill="F9F9F9"/>
            <w:tcMar>
              <w:top w:w="80" w:type="dxa"/>
              <w:left w:w="140" w:type="dxa"/>
              <w:bottom w:w="80" w:type="dxa"/>
              <w:right w:w="100" w:type="dxa"/>
            </w:tcMar>
          </w:tcPr>
          <w:p w14:paraId="549A08DA" w14:textId="77777777" w:rsidR="0089004B" w:rsidRDefault="0089004B" w:rsidP="00081158">
            <w:pPr>
              <w:jc w:val="both"/>
            </w:pPr>
            <w:r>
              <w:rPr>
                <w:color w:val="212121"/>
                <w:sz w:val="19"/>
                <w:szCs w:val="19"/>
              </w:rPr>
              <w:t>Resistencia de usuarios, baja alfabetización ambiental, falta de conciencia</w:t>
            </w:r>
          </w:p>
        </w:tc>
        <w:tc>
          <w:tcPr>
            <w:tcW w:w="0" w:type="auto"/>
            <w:tcBorders>
              <w:top w:val="single" w:sz="4" w:space="0" w:color="B0BEC5"/>
              <w:left w:val="single" w:sz="4" w:space="0" w:color="B0BEC5"/>
              <w:bottom w:val="single" w:sz="4" w:space="0" w:color="B0BEC5"/>
              <w:right w:val="single" w:sz="4" w:space="0" w:color="B0BEC5"/>
            </w:tcBorders>
            <w:shd w:val="clear" w:color="auto" w:fill="FFFFFF"/>
            <w:tcMar>
              <w:top w:w="80" w:type="dxa"/>
              <w:left w:w="140" w:type="dxa"/>
              <w:bottom w:w="80" w:type="dxa"/>
              <w:right w:w="100" w:type="dxa"/>
            </w:tcMar>
          </w:tcPr>
          <w:p w14:paraId="345276ED" w14:textId="77777777" w:rsidR="0089004B" w:rsidRDefault="0089004B" w:rsidP="00081158">
            <w:pPr>
              <w:jc w:val="both"/>
            </w:pPr>
            <w:r>
              <w:rPr>
                <w:color w:val="212121"/>
                <w:sz w:val="19"/>
                <w:szCs w:val="19"/>
              </w:rPr>
              <w:t>Limita la adopción: los usuarios no perciben el consumo de IA como responsabilidad propia.</w:t>
            </w:r>
          </w:p>
        </w:tc>
      </w:tr>
      <w:tr w:rsidR="0089004B" w14:paraId="0F9601FD" w14:textId="77777777" w:rsidTr="00081158">
        <w:tc>
          <w:tcPr>
            <w:tcW w:w="0" w:type="auto"/>
            <w:tcBorders>
              <w:top w:val="single" w:sz="4" w:space="0" w:color="B0BEC5"/>
              <w:left w:val="single" w:sz="4" w:space="0" w:color="B0BEC5"/>
              <w:bottom w:val="single" w:sz="4" w:space="0" w:color="B0BEC5"/>
              <w:right w:val="single" w:sz="4" w:space="0" w:color="B0BEC5"/>
            </w:tcBorders>
            <w:shd w:val="clear" w:color="auto" w:fill="558B2F"/>
            <w:tcMar>
              <w:top w:w="100" w:type="dxa"/>
              <w:left w:w="140" w:type="dxa"/>
              <w:bottom w:w="100" w:type="dxa"/>
              <w:right w:w="100" w:type="dxa"/>
            </w:tcMar>
            <w:vAlign w:val="center"/>
          </w:tcPr>
          <w:p w14:paraId="28116782" w14:textId="77777777" w:rsidR="0089004B" w:rsidRDefault="0089004B" w:rsidP="00081158">
            <w:pPr>
              <w:jc w:val="center"/>
            </w:pPr>
            <w:r>
              <w:rPr>
                <w:b/>
                <w:bCs/>
                <w:color w:val="FFFFFF"/>
                <w:sz w:val="19"/>
                <w:szCs w:val="19"/>
              </w:rPr>
              <w:t>Gestión Organizacional</w:t>
            </w:r>
          </w:p>
        </w:tc>
        <w:tc>
          <w:tcPr>
            <w:tcW w:w="0" w:type="auto"/>
            <w:tcBorders>
              <w:top w:val="single" w:sz="4" w:space="0" w:color="B0BEC5"/>
              <w:left w:val="single" w:sz="4" w:space="0" w:color="B0BEC5"/>
              <w:bottom w:val="single" w:sz="4" w:space="0" w:color="B0BEC5"/>
              <w:right w:val="single" w:sz="4" w:space="0" w:color="B0BEC5"/>
            </w:tcBorders>
            <w:shd w:val="clear" w:color="auto" w:fill="F9F9F9"/>
            <w:tcMar>
              <w:top w:w="80" w:type="dxa"/>
              <w:left w:w="140" w:type="dxa"/>
              <w:bottom w:w="80" w:type="dxa"/>
              <w:right w:w="100" w:type="dxa"/>
            </w:tcMar>
          </w:tcPr>
          <w:p w14:paraId="3EBCBF8B" w14:textId="77777777" w:rsidR="0089004B" w:rsidRDefault="0089004B" w:rsidP="00081158">
            <w:pPr>
              <w:jc w:val="both"/>
            </w:pPr>
            <w:r>
              <w:rPr>
                <w:color w:val="212121"/>
                <w:sz w:val="19"/>
                <w:szCs w:val="19"/>
              </w:rPr>
              <w:t>Sin incentivos para reportar, conflictos con proveedores, ausencia de estrategias</w:t>
            </w:r>
          </w:p>
        </w:tc>
        <w:tc>
          <w:tcPr>
            <w:tcW w:w="0" w:type="auto"/>
            <w:tcBorders>
              <w:top w:val="single" w:sz="4" w:space="0" w:color="B0BEC5"/>
              <w:left w:val="single" w:sz="4" w:space="0" w:color="B0BEC5"/>
              <w:bottom w:val="single" w:sz="4" w:space="0" w:color="B0BEC5"/>
              <w:right w:val="single" w:sz="4" w:space="0" w:color="B0BEC5"/>
            </w:tcBorders>
            <w:shd w:val="clear" w:color="auto" w:fill="FFFFFF"/>
            <w:tcMar>
              <w:top w:w="80" w:type="dxa"/>
              <w:left w:w="140" w:type="dxa"/>
              <w:bottom w:w="80" w:type="dxa"/>
              <w:right w:w="100" w:type="dxa"/>
            </w:tcMar>
          </w:tcPr>
          <w:p w14:paraId="6A0CFEC0" w14:textId="77777777" w:rsidR="0089004B" w:rsidRDefault="0089004B" w:rsidP="00081158">
            <w:pPr>
              <w:jc w:val="both"/>
            </w:pPr>
            <w:r>
              <w:rPr>
                <w:color w:val="212121"/>
                <w:sz w:val="19"/>
                <w:szCs w:val="19"/>
              </w:rPr>
              <w:t>Sin obligatoriedad regulatoria, las organizaciones carecen de motivación directa.</w:t>
            </w:r>
          </w:p>
        </w:tc>
      </w:tr>
      <w:tr w:rsidR="0089004B" w14:paraId="1F9358D4" w14:textId="77777777" w:rsidTr="00081158">
        <w:tc>
          <w:tcPr>
            <w:tcW w:w="0" w:type="auto"/>
            <w:tcBorders>
              <w:top w:val="single" w:sz="4" w:space="0" w:color="B0BEC5"/>
              <w:left w:val="single" w:sz="4" w:space="0" w:color="B0BEC5"/>
              <w:bottom w:val="single" w:sz="4" w:space="0" w:color="B0BEC5"/>
              <w:right w:val="single" w:sz="4" w:space="0" w:color="B0BEC5"/>
            </w:tcBorders>
            <w:shd w:val="clear" w:color="auto" w:fill="4E342E"/>
            <w:tcMar>
              <w:top w:w="100" w:type="dxa"/>
              <w:left w:w="140" w:type="dxa"/>
              <w:bottom w:w="100" w:type="dxa"/>
              <w:right w:w="100" w:type="dxa"/>
            </w:tcMar>
            <w:vAlign w:val="center"/>
          </w:tcPr>
          <w:p w14:paraId="08D71284" w14:textId="77777777" w:rsidR="0089004B" w:rsidRDefault="0089004B" w:rsidP="00081158">
            <w:pPr>
              <w:jc w:val="center"/>
            </w:pPr>
            <w:r>
              <w:rPr>
                <w:b/>
                <w:bCs/>
                <w:color w:val="FFFFFF"/>
                <w:sz w:val="19"/>
                <w:szCs w:val="19"/>
              </w:rPr>
              <w:t>Métodos de Estimación</w:t>
            </w:r>
          </w:p>
        </w:tc>
        <w:tc>
          <w:tcPr>
            <w:tcW w:w="0" w:type="auto"/>
            <w:tcBorders>
              <w:top w:val="single" w:sz="4" w:space="0" w:color="B0BEC5"/>
              <w:left w:val="single" w:sz="4" w:space="0" w:color="B0BEC5"/>
              <w:bottom w:val="single" w:sz="4" w:space="0" w:color="B0BEC5"/>
              <w:right w:val="single" w:sz="4" w:space="0" w:color="B0BEC5"/>
            </w:tcBorders>
            <w:shd w:val="clear" w:color="auto" w:fill="F9F9F9"/>
            <w:tcMar>
              <w:top w:w="80" w:type="dxa"/>
              <w:left w:w="140" w:type="dxa"/>
              <w:bottom w:w="80" w:type="dxa"/>
              <w:right w:w="100" w:type="dxa"/>
            </w:tcMar>
          </w:tcPr>
          <w:p w14:paraId="3DEE0FFF" w14:textId="77777777" w:rsidR="0089004B" w:rsidRDefault="0089004B" w:rsidP="00081158">
            <w:pPr>
              <w:jc w:val="both"/>
            </w:pPr>
            <w:r>
              <w:rPr>
                <w:color w:val="212121"/>
                <w:sz w:val="19"/>
                <w:szCs w:val="19"/>
              </w:rPr>
              <w:t>Variables regionales, dependencia de estimaciones, métricas no comparables</w:t>
            </w:r>
          </w:p>
        </w:tc>
        <w:tc>
          <w:tcPr>
            <w:tcW w:w="0" w:type="auto"/>
            <w:tcBorders>
              <w:top w:val="single" w:sz="4" w:space="0" w:color="B0BEC5"/>
              <w:left w:val="single" w:sz="4" w:space="0" w:color="B0BEC5"/>
              <w:bottom w:val="single" w:sz="4" w:space="0" w:color="B0BEC5"/>
              <w:right w:val="single" w:sz="4" w:space="0" w:color="B0BEC5"/>
            </w:tcBorders>
            <w:shd w:val="clear" w:color="auto" w:fill="FFFFFF"/>
            <w:tcMar>
              <w:top w:w="80" w:type="dxa"/>
              <w:left w:w="140" w:type="dxa"/>
              <w:bottom w:w="80" w:type="dxa"/>
              <w:right w:w="100" w:type="dxa"/>
            </w:tcMar>
          </w:tcPr>
          <w:p w14:paraId="70E86C65" w14:textId="77777777" w:rsidR="0089004B" w:rsidRDefault="0089004B" w:rsidP="00081158">
            <w:pPr>
              <w:jc w:val="both"/>
            </w:pPr>
            <w:r>
              <w:rPr>
                <w:color w:val="212121"/>
                <w:sz w:val="19"/>
                <w:szCs w:val="19"/>
              </w:rPr>
              <w:t>Introduce incertidumbre que debe comunicarse con transparencia para mantener credibilidad.</w:t>
            </w:r>
          </w:p>
        </w:tc>
      </w:tr>
    </w:tbl>
    <w:p w14:paraId="0F0DA048" w14:textId="75B60371" w:rsidR="00A978F1" w:rsidRPr="00A978F1" w:rsidRDefault="00A978F1" w:rsidP="00A978F1">
      <w:pPr>
        <w:jc w:val="both"/>
      </w:pPr>
    </w:p>
    <w:p w14:paraId="3BBA4F3E" w14:textId="77777777" w:rsidR="00C72233" w:rsidRDefault="00C72233" w:rsidP="00A978F1">
      <w:pPr>
        <w:jc w:val="both"/>
      </w:pPr>
    </w:p>
    <w:p w14:paraId="294DCA33" w14:textId="255B5436" w:rsidR="00C6383D" w:rsidRDefault="00D52518" w:rsidP="00A978F1">
      <w:pPr>
        <w:jc w:val="both"/>
      </w:pPr>
      <w:r>
        <w:lastRenderedPageBreak/>
        <w:t>Bibliografía</w:t>
      </w:r>
      <w:r w:rsidR="0089004B">
        <w:t xml:space="preserve"> </w:t>
      </w:r>
    </w:p>
    <w:p w14:paraId="7D02DC3A" w14:textId="77777777" w:rsidR="00D52518" w:rsidRPr="00D52518" w:rsidRDefault="00D52518" w:rsidP="00D52518">
      <w:pPr>
        <w:numPr>
          <w:ilvl w:val="0"/>
          <w:numId w:val="9"/>
        </w:numPr>
        <w:jc w:val="both"/>
      </w:pPr>
      <w:proofErr w:type="spellStart"/>
      <w:r w:rsidRPr="00D52518">
        <w:rPr>
          <w:b/>
          <w:bCs/>
        </w:rPr>
        <w:t>Strubell</w:t>
      </w:r>
      <w:proofErr w:type="spellEnd"/>
      <w:r w:rsidRPr="00D52518">
        <w:rPr>
          <w:b/>
          <w:bCs/>
        </w:rPr>
        <w:t>, E., Ganesh, A., &amp; McCallum, A. (2019):</w:t>
      </w:r>
      <w:r w:rsidRPr="00D52518">
        <w:t xml:space="preserve"> Utilizada en la sección 1.1 para el dato de los 626,000 kg de $CO_2$ en modelos de NLP.</w:t>
      </w:r>
    </w:p>
    <w:p w14:paraId="71C7A104" w14:textId="77777777" w:rsidR="00D52518" w:rsidRPr="00D52518" w:rsidRDefault="00D52518" w:rsidP="00D52518">
      <w:pPr>
        <w:numPr>
          <w:ilvl w:val="0"/>
          <w:numId w:val="9"/>
        </w:numPr>
        <w:jc w:val="both"/>
      </w:pPr>
      <w:proofErr w:type="spellStart"/>
      <w:r w:rsidRPr="00D52518">
        <w:rPr>
          <w:b/>
          <w:bCs/>
        </w:rPr>
        <w:t>Lannelongue</w:t>
      </w:r>
      <w:proofErr w:type="spellEnd"/>
      <w:r w:rsidRPr="00D52518">
        <w:rPr>
          <w:b/>
          <w:bCs/>
        </w:rPr>
        <w:t>, L., Grealey, J., &amp; Inouye, M. (2021):</w:t>
      </w:r>
      <w:r w:rsidRPr="00D52518">
        <w:t xml:space="preserve"> Utilizada en la sección 1.2 para fundamentar la variabilidad regional de 40:1 según la matriz energética.</w:t>
      </w:r>
    </w:p>
    <w:p w14:paraId="127911B7" w14:textId="77777777" w:rsidR="00D52518" w:rsidRPr="00D52518" w:rsidRDefault="00D52518" w:rsidP="00D52518">
      <w:pPr>
        <w:numPr>
          <w:ilvl w:val="0"/>
          <w:numId w:val="9"/>
        </w:numPr>
        <w:jc w:val="both"/>
      </w:pPr>
      <w:r w:rsidRPr="00D52518">
        <w:rPr>
          <w:b/>
          <w:bCs/>
        </w:rPr>
        <w:t>Wu, C.-J., et al. (2022):</w:t>
      </w:r>
      <w:r w:rsidRPr="00D52518">
        <w:t xml:space="preserve"> Utilizada en la sección 1.3 para explicar que el impacto del ciclo de vida del hardware supera al costo operacional.</w:t>
      </w:r>
    </w:p>
    <w:p w14:paraId="49A94550" w14:textId="77777777" w:rsidR="00D52518" w:rsidRPr="00D52518" w:rsidRDefault="00D52518" w:rsidP="00D52518">
      <w:pPr>
        <w:numPr>
          <w:ilvl w:val="0"/>
          <w:numId w:val="9"/>
        </w:numPr>
        <w:jc w:val="both"/>
      </w:pPr>
      <w:proofErr w:type="spellStart"/>
      <w:r w:rsidRPr="00D52518">
        <w:rPr>
          <w:b/>
          <w:bCs/>
        </w:rPr>
        <w:t>Parlement</w:t>
      </w:r>
      <w:proofErr w:type="spellEnd"/>
      <w:r w:rsidRPr="00D52518">
        <w:rPr>
          <w:b/>
          <w:bCs/>
        </w:rPr>
        <w:t xml:space="preserve"> </w:t>
      </w:r>
      <w:proofErr w:type="spellStart"/>
      <w:r w:rsidRPr="00D52518">
        <w:rPr>
          <w:b/>
          <w:bCs/>
        </w:rPr>
        <w:t>Européen</w:t>
      </w:r>
      <w:proofErr w:type="spellEnd"/>
      <w:r w:rsidRPr="00D52518">
        <w:rPr>
          <w:b/>
          <w:bCs/>
        </w:rPr>
        <w:t xml:space="preserve"> et </w:t>
      </w:r>
      <w:proofErr w:type="spellStart"/>
      <w:r w:rsidRPr="00D52518">
        <w:rPr>
          <w:b/>
          <w:bCs/>
        </w:rPr>
        <w:t>Conseil</w:t>
      </w:r>
      <w:proofErr w:type="spellEnd"/>
      <w:r w:rsidRPr="00D52518">
        <w:rPr>
          <w:b/>
          <w:bCs/>
        </w:rPr>
        <w:t xml:space="preserve"> de </w:t>
      </w:r>
      <w:proofErr w:type="spellStart"/>
      <w:r w:rsidRPr="00D52518">
        <w:rPr>
          <w:b/>
          <w:bCs/>
        </w:rPr>
        <w:t>l'Union</w:t>
      </w:r>
      <w:proofErr w:type="spellEnd"/>
      <w:r w:rsidRPr="00D52518">
        <w:rPr>
          <w:b/>
          <w:bCs/>
        </w:rPr>
        <w:t xml:space="preserve"> </w:t>
      </w:r>
      <w:proofErr w:type="spellStart"/>
      <w:r w:rsidRPr="00D52518">
        <w:rPr>
          <w:b/>
          <w:bCs/>
        </w:rPr>
        <w:t>Européenne</w:t>
      </w:r>
      <w:proofErr w:type="spellEnd"/>
      <w:r w:rsidRPr="00D52518">
        <w:rPr>
          <w:b/>
          <w:bCs/>
        </w:rPr>
        <w:t xml:space="preserve"> (2024) [AI </w:t>
      </w:r>
      <w:proofErr w:type="spellStart"/>
      <w:r w:rsidRPr="00D52518">
        <w:rPr>
          <w:b/>
          <w:bCs/>
        </w:rPr>
        <w:t>Act</w:t>
      </w:r>
      <w:proofErr w:type="spellEnd"/>
      <w:r w:rsidRPr="00D52518">
        <w:rPr>
          <w:b/>
          <w:bCs/>
        </w:rPr>
        <w:t>]:</w:t>
      </w:r>
      <w:r w:rsidRPr="00D52518">
        <w:t xml:space="preserve"> Utilizada en la sección 1.4 como base del marco regulatorio actual.</w:t>
      </w:r>
    </w:p>
    <w:p w14:paraId="7DD4F1DD" w14:textId="77777777" w:rsidR="00D52518" w:rsidRPr="00D52518" w:rsidRDefault="00D52518" w:rsidP="00D52518">
      <w:pPr>
        <w:numPr>
          <w:ilvl w:val="0"/>
          <w:numId w:val="9"/>
        </w:numPr>
        <w:jc w:val="both"/>
      </w:pPr>
      <w:r w:rsidRPr="00D52518">
        <w:rPr>
          <w:b/>
          <w:bCs/>
        </w:rPr>
        <w:t xml:space="preserve">Green Software </w:t>
      </w:r>
      <w:proofErr w:type="spellStart"/>
      <w:r w:rsidRPr="00D52518">
        <w:rPr>
          <w:b/>
          <w:bCs/>
        </w:rPr>
        <w:t>Foundation</w:t>
      </w:r>
      <w:proofErr w:type="spellEnd"/>
      <w:r w:rsidRPr="00D52518">
        <w:rPr>
          <w:b/>
          <w:bCs/>
        </w:rPr>
        <w:t xml:space="preserve"> (2023):</w:t>
      </w:r>
      <w:r w:rsidRPr="00D52518">
        <w:t xml:space="preserve"> Utilizada en la sección 1.4 para la especificación del estándar </w:t>
      </w:r>
      <w:r w:rsidRPr="00D52518">
        <w:rPr>
          <w:i/>
          <w:iCs/>
        </w:rPr>
        <w:t xml:space="preserve">Software Carbon </w:t>
      </w:r>
      <w:proofErr w:type="spellStart"/>
      <w:r w:rsidRPr="00D52518">
        <w:rPr>
          <w:i/>
          <w:iCs/>
        </w:rPr>
        <w:t>Intensity</w:t>
      </w:r>
      <w:proofErr w:type="spellEnd"/>
      <w:r w:rsidRPr="00D52518">
        <w:t xml:space="preserve"> (SCI).</w:t>
      </w:r>
    </w:p>
    <w:p w14:paraId="6D4FA963" w14:textId="77777777" w:rsidR="00D52518" w:rsidRPr="00D52518" w:rsidRDefault="00D52518" w:rsidP="00D52518">
      <w:pPr>
        <w:numPr>
          <w:ilvl w:val="0"/>
          <w:numId w:val="9"/>
        </w:numPr>
        <w:jc w:val="both"/>
      </w:pPr>
      <w:r w:rsidRPr="00D52518">
        <w:rPr>
          <w:b/>
          <w:bCs/>
        </w:rPr>
        <w:t>Davis, F. D. (1989):</w:t>
      </w:r>
      <w:r w:rsidRPr="00D52518">
        <w:t xml:space="preserve"> Utilizada en la sección 1.5 para el Modelo de Aceptación Tecnológica (TAM).</w:t>
      </w:r>
    </w:p>
    <w:p w14:paraId="62261574" w14:textId="114CA903" w:rsidR="0089004B" w:rsidRDefault="00D52518" w:rsidP="00A978F1">
      <w:pPr>
        <w:numPr>
          <w:ilvl w:val="0"/>
          <w:numId w:val="9"/>
        </w:numPr>
        <w:jc w:val="both"/>
      </w:pPr>
      <w:r w:rsidRPr="00D52518">
        <w:rPr>
          <w:b/>
          <w:bCs/>
        </w:rPr>
        <w:t>Bansal, P., &amp; Roth, K. (2000):</w:t>
      </w:r>
      <w:r w:rsidRPr="00D52518">
        <w:t xml:space="preserve"> Utilizada en la sección 1.5 para identificar los tres impulsores (presión regulatoria, </w:t>
      </w:r>
      <w:proofErr w:type="spellStart"/>
      <w:r w:rsidRPr="00D52518">
        <w:t>stakeholders</w:t>
      </w:r>
      <w:proofErr w:type="spellEnd"/>
      <w:r w:rsidRPr="00D52518">
        <w:t xml:space="preserve"> y ventaja competitiva) de la adopción ecológica.</w:t>
      </w:r>
    </w:p>
    <w:sectPr w:rsidR="008900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20E5D"/>
    <w:multiLevelType w:val="multilevel"/>
    <w:tmpl w:val="8EB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A07CE"/>
    <w:multiLevelType w:val="multilevel"/>
    <w:tmpl w:val="2476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70BF4"/>
    <w:multiLevelType w:val="multilevel"/>
    <w:tmpl w:val="926E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B2A61"/>
    <w:multiLevelType w:val="multilevel"/>
    <w:tmpl w:val="07128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6E731D"/>
    <w:multiLevelType w:val="multilevel"/>
    <w:tmpl w:val="BACA7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476547"/>
    <w:multiLevelType w:val="multilevel"/>
    <w:tmpl w:val="4C06E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9C1715"/>
    <w:multiLevelType w:val="multilevel"/>
    <w:tmpl w:val="815E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666004"/>
    <w:multiLevelType w:val="multilevel"/>
    <w:tmpl w:val="8886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42216"/>
    <w:multiLevelType w:val="multilevel"/>
    <w:tmpl w:val="D70A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913775">
    <w:abstractNumId w:val="7"/>
  </w:num>
  <w:num w:numId="2" w16cid:durableId="2036693855">
    <w:abstractNumId w:val="4"/>
  </w:num>
  <w:num w:numId="3" w16cid:durableId="1560942558">
    <w:abstractNumId w:val="2"/>
  </w:num>
  <w:num w:numId="4" w16cid:durableId="1601329038">
    <w:abstractNumId w:val="5"/>
  </w:num>
  <w:num w:numId="5" w16cid:durableId="1190140947">
    <w:abstractNumId w:val="1"/>
  </w:num>
  <w:num w:numId="6" w16cid:durableId="1391878534">
    <w:abstractNumId w:val="3"/>
  </w:num>
  <w:num w:numId="7" w16cid:durableId="15741617">
    <w:abstractNumId w:val="0"/>
  </w:num>
  <w:num w:numId="8" w16cid:durableId="1750956456">
    <w:abstractNumId w:val="8"/>
  </w:num>
  <w:num w:numId="9" w16cid:durableId="16621985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8F1"/>
    <w:rsid w:val="005008E6"/>
    <w:rsid w:val="005903A7"/>
    <w:rsid w:val="0089004B"/>
    <w:rsid w:val="008C1C3C"/>
    <w:rsid w:val="00952D23"/>
    <w:rsid w:val="00A978F1"/>
    <w:rsid w:val="00B20409"/>
    <w:rsid w:val="00C6383D"/>
    <w:rsid w:val="00C72233"/>
    <w:rsid w:val="00CF5300"/>
    <w:rsid w:val="00D525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99E60"/>
  <w15:chartTrackingRefBased/>
  <w15:docId w15:val="{C5DBD180-9573-47A8-A94F-5C8143782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7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7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78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78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78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78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78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78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78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78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78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78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78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78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78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78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78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78F1"/>
    <w:rPr>
      <w:rFonts w:eastAsiaTheme="majorEastAsia" w:cstheme="majorBidi"/>
      <w:color w:val="272727" w:themeColor="text1" w:themeTint="D8"/>
    </w:rPr>
  </w:style>
  <w:style w:type="paragraph" w:styleId="Ttulo">
    <w:name w:val="Title"/>
    <w:basedOn w:val="Normal"/>
    <w:next w:val="Normal"/>
    <w:link w:val="TtuloCar"/>
    <w:uiPriority w:val="10"/>
    <w:qFormat/>
    <w:rsid w:val="00A97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78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78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78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78F1"/>
    <w:pPr>
      <w:spacing w:before="160"/>
      <w:jc w:val="center"/>
    </w:pPr>
    <w:rPr>
      <w:i/>
      <w:iCs/>
      <w:color w:val="404040" w:themeColor="text1" w:themeTint="BF"/>
    </w:rPr>
  </w:style>
  <w:style w:type="character" w:customStyle="1" w:styleId="CitaCar">
    <w:name w:val="Cita Car"/>
    <w:basedOn w:val="Fuentedeprrafopredeter"/>
    <w:link w:val="Cita"/>
    <w:uiPriority w:val="29"/>
    <w:rsid w:val="00A978F1"/>
    <w:rPr>
      <w:i/>
      <w:iCs/>
      <w:color w:val="404040" w:themeColor="text1" w:themeTint="BF"/>
    </w:rPr>
  </w:style>
  <w:style w:type="paragraph" w:styleId="Prrafodelista">
    <w:name w:val="List Paragraph"/>
    <w:basedOn w:val="Normal"/>
    <w:uiPriority w:val="34"/>
    <w:qFormat/>
    <w:rsid w:val="00A978F1"/>
    <w:pPr>
      <w:ind w:left="720"/>
      <w:contextualSpacing/>
    </w:pPr>
  </w:style>
  <w:style w:type="character" w:styleId="nfasisintenso">
    <w:name w:val="Intense Emphasis"/>
    <w:basedOn w:val="Fuentedeprrafopredeter"/>
    <w:uiPriority w:val="21"/>
    <w:qFormat/>
    <w:rsid w:val="00A978F1"/>
    <w:rPr>
      <w:i/>
      <w:iCs/>
      <w:color w:val="0F4761" w:themeColor="accent1" w:themeShade="BF"/>
    </w:rPr>
  </w:style>
  <w:style w:type="paragraph" w:styleId="Citadestacada">
    <w:name w:val="Intense Quote"/>
    <w:basedOn w:val="Normal"/>
    <w:next w:val="Normal"/>
    <w:link w:val="CitadestacadaCar"/>
    <w:uiPriority w:val="30"/>
    <w:qFormat/>
    <w:rsid w:val="00A97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78F1"/>
    <w:rPr>
      <w:i/>
      <w:iCs/>
      <w:color w:val="0F4761" w:themeColor="accent1" w:themeShade="BF"/>
    </w:rPr>
  </w:style>
  <w:style w:type="character" w:styleId="Referenciaintensa">
    <w:name w:val="Intense Reference"/>
    <w:basedOn w:val="Fuentedeprrafopredeter"/>
    <w:uiPriority w:val="32"/>
    <w:qFormat/>
    <w:rsid w:val="00A978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1074</Words>
  <Characters>5911</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ESPINOZA CONDORI BRIGHITTE N</dc:creator>
  <cp:keywords/>
  <dc:description/>
  <cp:lastModifiedBy>ESPINOZA CONDORI BRIGHITTE N</cp:lastModifiedBy>
  <cp:revision>1</cp:revision>
  <dcterms:created xsi:type="dcterms:W3CDTF">2026-04-19T07:00:00Z</dcterms:created>
  <dcterms:modified xsi:type="dcterms:W3CDTF">2026-04-19T07:34:00Z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2cf4c580-1c83-4312-bcda-580954922326</vt:lpwstr>
  </property>
</Properties>
</file>