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CADENA DE VALOR.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Infraestructura institucional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Comprende la dirección estratégica, la gestión de calidad y procesos de acreditación, la administración financiera y contable, los asuntos legales y la planificación de campus.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Gestión de recursos humanos: La selección y contratación de académicos, la capacitación docente y la evaluación del desempeño del personal académico y administrativo.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Desarrollo tecnológico:  Uso de plataformas educativas (Canvas), sistemas de autogestión estudiantil, laboratorios de simulación y acceso a bibliotecas digitales.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Abastecimiento (compras): Adquisición de insumos de laboratorio, licencias de software y la gestión de convenios internacionales.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Logística interna: Procesos de admisión, matrícula y nivelación académica de los estudiantes.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:Operaciones Desarrollo de clases, actividades de investigación, prácticas profesionales o clínicas y procesos de evaluación académica.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Logística externa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Acreditación (CNA), ahora incluyen criterios de sostenibilidad y mejora continua.</w:t>
      </w:r>
      <w:r w:rsidDel="00000000" w:rsidR="00000000" w:rsidRPr="00000000">
        <w:rPr>
          <w:rtl w:val="0"/>
        </w:rPr>
        <w:t xml:space="preserve">)procesos de egreso, titulación y entrega de certificaciones académicas.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Marketing y ventas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Promoción de carreras, difusión institucional, otorgamiento de becas y participación en ferias educativas.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Servicio (postventa): Gestión de la red de egresados (Alumni), bolsas de empleo y oferta de programas de educación continua.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