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cd4zy0iy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Contexto Técnico y Científico: Ojito al Mosquito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Alimentar al agente de IA del IDE (Antigravity) con los parámetros bioclimáticos, métricas financieras y estadísticas epidemiológicas para la generación de código y validación del MVP.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vm6at1ry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Parámetros Bioclimáticos para el Algoritmo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ire_calculator.py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riesgo de la aplicación utiliza los siguientes umbrales térmicos para calcular los días de eclosión del </w:t>
      </w:r>
      <w:r w:rsidDel="00000000" w:rsidR="00000000" w:rsidRPr="00000000">
        <w:rPr>
          <w:i w:val="1"/>
          <w:iCs w:val="1"/>
          <w:rtl w:val="0"/>
        </w:rPr>
        <w:t xml:space="preserve">Aedes aegypti</w:t>
      </w:r>
      <w:r w:rsidDel="00000000" w:rsidR="00000000" w:rsidRPr="00000000">
        <w:rPr>
          <w:rtl w:val="0"/>
        </w:rPr>
        <w:t xml:space="preserve"> y priorizar el ruteo: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Umbral Mínimo de Desarrollo:</w:t>
      </w:r>
      <w:r w:rsidDel="00000000" w:rsidR="00000000" w:rsidRPr="00000000">
        <w:rPr>
          <w:rtl w:val="0"/>
        </w:rPr>
        <w:t xml:space="preserve"> 8.3 °C. Por debajo de esta temperatura, el desarrollo larval se detiene.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por Anomalías (El Niño):</w:t>
      </w:r>
      <w:r w:rsidDel="00000000" w:rsidR="00000000" w:rsidRPr="00000000">
        <w:rPr>
          <w:rtl w:val="0"/>
        </w:rPr>
        <w:t xml:space="preserve"> El ciclo de desarrollo se acorta en 1.5 días por cada 2 °C de aumento sostenido en la temperatura ambiental (Pirani, 2024).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Crítica (Calor Extremo):</w:t>
      </w:r>
      <w:r w:rsidDel="00000000" w:rsidR="00000000" w:rsidRPr="00000000">
        <w:rPr>
          <w:rtl w:val="0"/>
        </w:rPr>
        <w:t xml:space="preserve"> A temperaturas cercanas a los 35 °C, el ciclo de huevo a adulto se comprime a </w:t>
      </w:r>
      <w:r w:rsidDel="00000000" w:rsidR="00000000" w:rsidRPr="00000000">
        <w:rPr>
          <w:b w:val="1"/>
          <w:bCs w:val="1"/>
          <w:rtl w:val="0"/>
        </w:rPr>
        <w:t xml:space="preserve">7.8 días</w:t>
      </w:r>
      <w:r w:rsidDel="00000000" w:rsidR="00000000" w:rsidRPr="00000000">
        <w:rPr>
          <w:rtl w:val="0"/>
        </w:rPr>
        <w:t xml:space="preserve"> (Doeurk, 2025; Tun-Lin, 2000).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de la Materia Orgánica:</w:t>
      </w:r>
      <w:r w:rsidDel="00000000" w:rsidR="00000000" w:rsidRPr="00000000">
        <w:rPr>
          <w:rtl w:val="0"/>
        </w:rPr>
        <w:t xml:space="preserve"> La detección de biomasa (hojas) mediante la Vision API incrementa el Índice de Riesgo, ya que provee el sustrato alimenticio ideal para la fase acuática.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qf32jqhuj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Restricciones Logísticas y Operativas (Backend de Ruteo)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 asignación de tareas para las brigadas municipales debe respetar las siguientes limitantes físicas y de tiempo extraídas de los manuales de control vectorial: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 Carga Ergonómica:</w:t>
      </w:r>
      <w:r w:rsidDel="00000000" w:rsidR="00000000" w:rsidRPr="00000000">
        <w:rPr>
          <w:rtl w:val="0"/>
        </w:rPr>
        <w:t xml:space="preserve"> Máximo 5 kg de biolarvicida granular (Bti) o 14 litros de mezcla líquida por mochila de brigadista. El sistema debe cortar la ruta cuando la suma del volumen de los focos alcance este tope.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Intervención:</w:t>
      </w:r>
      <w:r w:rsidDel="00000000" w:rsidR="00000000" w:rsidRPr="00000000">
        <w:rPr>
          <w:rtl w:val="0"/>
        </w:rPr>
        <w:t xml:space="preserve"> 15 a 20 minutos por criadero (incluye inspección, aplicación del larvicida y registro en la app).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Rendimiento Máximo:</w:t>
      </w:r>
      <w:r w:rsidDel="00000000" w:rsidR="00000000" w:rsidRPr="00000000">
        <w:rPr>
          <w:rtl w:val="0"/>
        </w:rPr>
        <w:t xml:space="preserve"> 12 a 18 predios o focos asignados por turno diario por técnico.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de Desplazamiento:</w:t>
      </w:r>
      <w:r w:rsidDel="00000000" w:rsidR="00000000" w:rsidRPr="00000000">
        <w:rPr>
          <w:rtl w:val="0"/>
        </w:rPr>
        <w:t xml:space="preserve"> 6 a 8 km/h para el trazado de rutas peatonales en áreas urbanas.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an67lreas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Justificación Epidemiológica (Datos del MSP Ecuador)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colapso del sistema sanitario tradicional valida la necesidad de transicionar de un modelo reactivo a uno predictivo: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el año 2024, se notificaron 61.352 casos confirmados de dengue a nivel nacional.</w:t>
        <w:br w:type="textWrapping"/>
        <w:t xml:space="preserve"> PDF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escalada de la curva de contagios es acelerada: tan solo hasta la semana epidemiológica 06 del año 2025, el país registra 5.507 casos confirmados.</w:t>
        <w:br w:type="textWrapping"/>
        <w:t xml:space="preserve"> PDF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este mismo periodo inicial de 2025, el dengue cobró la vida de 4 personas, confirmando la letalidad de la enfermedad sin un manejo clínico adecuado y la urgencia de neutralizar el vector.</w:t>
        <w:br w:type="textWrapping"/>
        <w:t xml:space="preserve"> PDF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feqpp2wh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Retorno de Inversión (ROI) y Métricas Financieras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negocio se sostiene en el contraste directo entre el costo de la inacción y la eficiencia de la prevención biológica: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Costos de Hospitalización (B2G):</w:t>
      </w:r>
      <w:r w:rsidDel="00000000" w:rsidR="00000000" w:rsidRPr="00000000">
        <w:rPr>
          <w:rtl w:val="0"/>
        </w:rPr>
        <w:t xml:space="preserve"> La atención de un paciente con dengue grave cuesta entre $866 y $1,855 USD al sistema público (Zimmermann, 2024; Thalagala, 2016). En contraste, el costo operativo de cobertura con larvicida biológico es de apenas $0.20 a $0.37 centavos por persona (Suaya, 2007; Liyanage, 2019).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Ahorro Operativo Directo:</w:t>
      </w:r>
      <w:r w:rsidDel="00000000" w:rsidR="00000000" w:rsidRPr="00000000">
        <w:rPr>
          <w:rtl w:val="0"/>
        </w:rPr>
        <w:t xml:space="preserve"> La focalización del despacho de brigadas reduce el gasto en un 35% a 40% al evitar el barrido ciego de la termonebulización reactiva (humo), la cual tiene menos de un 10% de efectividad de contacto.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Productividad (B2B):</w:t>
      </w:r>
      <w:r w:rsidDel="00000000" w:rsidR="00000000" w:rsidRPr="00000000">
        <w:rPr>
          <w:rtl w:val="0"/>
        </w:rPr>
        <w:t xml:space="preserve"> Un cuadro sintomático de dengue genera entre 5.5 y 9.9 días de incapacidad laboral (Suaya, 2009), justificando la adquisición de la plataforma por parte de agroindustrias para prevenir paralizaciones en líneas de producción.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Eficacia del Biolarvicida (Bti):</w:t>
      </w:r>
      <w:r w:rsidDel="00000000" w:rsidR="00000000" w:rsidRPr="00000000">
        <w:rPr>
          <w:rtl w:val="0"/>
        </w:rPr>
        <w:t xml:space="preserve"> La aplicación de </w:t>
      </w:r>
      <w:r w:rsidDel="00000000" w:rsidR="00000000" w:rsidRPr="00000000">
        <w:rPr>
          <w:i w:val="1"/>
          <w:iCs w:val="1"/>
          <w:rtl w:val="0"/>
        </w:rPr>
        <w:t xml:space="preserve">Bacillus thuringiensis israelensis</w:t>
      </w:r>
      <w:r w:rsidDel="00000000" w:rsidR="00000000" w:rsidRPr="00000000">
        <w:rPr>
          <w:rtl w:val="0"/>
        </w:rPr>
        <w:t xml:space="preserve"> suprime la producción de pupas en un 91% durante ocho semanas (Setha, 2016), superando al químico tradicional (temefos), que presenta reinfestación en solo seis semanas debido a la resistencia del vector (George, 2015).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dadtwdk3b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Referencias Bibliográficas (Optimizadas para indexación en Mendeley)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Couret, J., &amp; Benedict, M. Q. (2014). A meta-analysis of the factors influencing development rate, survival, and fecundity in Aedes aegypti. </w:t>
      </w:r>
      <w:r w:rsidDel="00000000" w:rsidR="00000000" w:rsidRPr="00000000">
        <w:rPr>
          <w:i w:val="1"/>
          <w:iCs w:val="1"/>
          <w:rtl w:val="0"/>
        </w:rPr>
        <w:t xml:space="preserve">PLoS Neglected Tropical Diseases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Doeurk, et al. (2025). Temperature-dependent development and survival of Aedes aegypti.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George, L., et al. (2015). Community effectiveness of temephos for dengue vector control: a systematic literature review. </w:t>
      </w:r>
      <w:r w:rsidDel="00000000" w:rsidR="00000000" w:rsidRPr="00000000">
        <w:rPr>
          <w:i w:val="1"/>
          <w:iCs w:val="1"/>
          <w:rtl w:val="0"/>
        </w:rPr>
        <w:t xml:space="preserve">Tropical Medicine &amp; International 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Liyanage, P., et al. (2019). Cost-effectiveness of the community-based dengue vector control program (CIMIC) in Sri Lanka.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Pirani, et al. (2024). The influence of El Niño-Southern Oscillation (ENSO) on Aedes aegypti infestation and dengue transmission.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Setha, T., et al. (2016). Operational effectiveness of Bacillus thuringiensis israelensis (Bti) against Aedes aegypti in Cambodia. </w:t>
      </w:r>
      <w:r w:rsidDel="00000000" w:rsidR="00000000" w:rsidRPr="00000000">
        <w:rPr>
          <w:i w:val="1"/>
          <w:iCs w:val="1"/>
          <w:rtl w:val="0"/>
        </w:rPr>
        <w:t xml:space="preserve">Parasites &amp; Vectors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Suaya, J. A., et al. (2007). Cost-effectiveness of annual targeted larviciding campaigns in Cambodia against dengue.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Suaya, J. A., Shepard, D. S., Siqueira, J. B., et al. (2009). Cost of Dengue Cases in Eight Countries in the Americas and Asia: A Prospective Study. </w:t>
      </w:r>
      <w:r w:rsidDel="00000000" w:rsidR="00000000" w:rsidRPr="00000000">
        <w:rPr>
          <w:i w:val="1"/>
          <w:iCs w:val="1"/>
          <w:rtl w:val="0"/>
        </w:rPr>
        <w:t xml:space="preserve">The American Journal of Tropical Medicine and Hygiene</w:t>
      </w:r>
      <w:r w:rsidDel="00000000" w:rsidR="00000000" w:rsidRPr="00000000">
        <w:rPr>
          <w:rtl w:val="0"/>
        </w:rPr>
        <w:t xml:space="preserve">, 80(5), 696–701.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Tun-Lin, W., Burkot, T. R., &amp; Kay, B. H. (2000). Effects of temperature and larval diet on development rates and survival of the dengue vector Aedes aegypti in north Queensland, Australia. </w:t>
      </w:r>
      <w:r w:rsidDel="00000000" w:rsidR="00000000" w:rsidRPr="00000000">
        <w:rPr>
          <w:i w:val="1"/>
          <w:iCs w:val="1"/>
          <w:rtl w:val="0"/>
        </w:rPr>
        <w:t xml:space="preserve">Medical and Veterinary Entomology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