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Informe del Sprint 1 del módulo de Notas</w:t>
      </w:r>
    </w:p>
    <w:p>
      <w:pPr>
        <w:jc w:val="center"/>
      </w:pPr>
      <w:r>
        <w:rPr>
          <w:b/>
          <w:sz w:val="30"/>
        </w:rPr>
        <w:t>Aplicación de SOLID y patrones de diseño</w:t>
      </w:r>
    </w:p>
    <w:p>
      <w:pPr>
        <w:spacing w:before="360"/>
        <w:jc w:val="center"/>
      </w:pPr>
      <w:r>
        <w:rPr>
          <w:sz w:val="24"/>
        </w:rPr>
        <w:t>Proyecto PRX Plataforma de Gestión de Repositorios</w:t>
      </w:r>
    </w:p>
    <w:p>
      <w:pPr>
        <w:jc w:val="center"/>
      </w:pPr>
      <w:r>
        <w:rPr>
          <w:sz w:val="22"/>
        </w:rPr>
        <w:t>Sprint 1  Módulo de Notas</w:t>
      </w:r>
    </w:p>
    <w:p>
      <w:pPr>
        <w:spacing w:before="560"/>
        <w:jc w:val="center"/>
      </w:pPr>
      <w:r>
        <w:rPr>
          <w:i/>
        </w:rPr>
        <w:t>Documento técnico elaborado a partir de la implementación del repositorio</w:t>
      </w:r>
    </w:p>
    <w:p>
      <w:r>
        <w:br w:type="page"/>
      </w:r>
    </w:p>
    <w:p>
      <w:pPr>
        <w:pStyle w:val="Heading1"/>
      </w:pPr>
      <w:r>
        <w:t>Rutas rápidas para encontrar el trabajo</w:t>
      </w:r>
    </w:p>
    <w:p>
      <w:r>
        <w:t>Estas son las carpetas que utilizo para ubicar rápidamente la implementación. La raíz del proyecto es PR-26-PRx-main-main. Desde esa raíz, las rutas principales son las siguientes.</w:t>
      </w:r>
    </w:p>
    <w:tbl>
      <w:tblPr>
        <w:tblStyle w:val="TableGrid"/>
        <w:tblW w:type="auto" w:w="0"/>
        <w:jc w:val="center"/>
        <w:tblLook w:firstColumn="1" w:firstRow="1" w:lastColumn="0" w:lastRow="0" w:noHBand="0" w:noVBand="1" w:val="04A0"/>
      </w:tblPr>
      <w:tblGrid>
        <w:gridCol w:w="3211"/>
        <w:gridCol w:w="3211"/>
        <w:gridCol w:w="3211"/>
      </w:tblGrid>
      <w:tr>
        <w:trPr>
          <w:tblHeader w:val="true"/>
        </w:trPr>
        <w:tc>
          <w:tcPr>
            <w:tcW w:type="dxa" w:w="1701"/>
            <w:shd w:fill="1F4E78"/>
            <w:tcMar>
              <w:top w:w="100" w:type="dxa"/>
              <w:start w:w="120" w:type="dxa"/>
              <w:bottom w:w="100" w:type="dxa"/>
              <w:end w:w="120" w:type="dxa"/>
            </w:tcMar>
            <w:vAlign w:val="center"/>
          </w:tcPr>
          <w:p>
            <w:pPr>
              <w:jc w:val="center"/>
            </w:pPr>
            <w:r>
              <w:rPr>
                <w:b/>
                <w:color w:val="FFFFFF"/>
                <w:sz w:val="18"/>
              </w:rPr>
              <w:t>Área</w:t>
            </w:r>
          </w:p>
        </w:tc>
        <w:tc>
          <w:tcPr>
            <w:tcW w:type="dxa" w:w="4082"/>
            <w:shd w:fill="1F4E78"/>
            <w:tcMar>
              <w:top w:w="100" w:type="dxa"/>
              <w:start w:w="120" w:type="dxa"/>
              <w:bottom w:w="100" w:type="dxa"/>
              <w:end w:w="120" w:type="dxa"/>
            </w:tcMar>
            <w:vAlign w:val="center"/>
          </w:tcPr>
          <w:p>
            <w:pPr>
              <w:jc w:val="center"/>
            </w:pPr>
            <w:r>
              <w:rPr>
                <w:b/>
                <w:color w:val="FFFFFF"/>
                <w:sz w:val="18"/>
              </w:rPr>
              <w:t>Ruta principal</w:t>
            </w:r>
          </w:p>
        </w:tc>
        <w:tc>
          <w:tcPr>
            <w:tcW w:type="dxa" w:w="3969"/>
            <w:shd w:fill="1F4E78"/>
            <w:tcMar>
              <w:top w:w="100" w:type="dxa"/>
              <w:start w:w="120" w:type="dxa"/>
              <w:bottom w:w="100" w:type="dxa"/>
              <w:end w:w="120" w:type="dxa"/>
            </w:tcMar>
            <w:vAlign w:val="center"/>
          </w:tcPr>
          <w:p>
            <w:pPr>
              <w:jc w:val="center"/>
            </w:pPr>
            <w:r>
              <w:rPr>
                <w:b/>
                <w:color w:val="FFFFFF"/>
                <w:sz w:val="18"/>
              </w:rPr>
              <w:t>Qué se encuentra</w:t>
            </w:r>
          </w:p>
        </w:tc>
      </w:tr>
      <w:tr>
        <w:tc>
          <w:tcPr>
            <w:tcW w:type="dxa" w:w="1701"/>
            <w:tcMar>
              <w:top w:w="100" w:type="dxa"/>
              <w:start w:w="120" w:type="dxa"/>
              <w:bottom w:w="100" w:type="dxa"/>
              <w:end w:w="120" w:type="dxa"/>
            </w:tcMar>
            <w:vAlign w:val="center"/>
          </w:tcPr>
          <w:p>
            <w:pPr>
              <w:spacing w:after="0"/>
            </w:pPr>
            <w:r>
              <w:rPr>
                <w:sz w:val="17"/>
              </w:rPr>
              <w:t>Backend de Notas</w:t>
            </w:r>
          </w:p>
        </w:tc>
        <w:tc>
          <w:tcPr>
            <w:tcW w:type="dxa" w:w="4082"/>
            <w:tcMar>
              <w:top w:w="100" w:type="dxa"/>
              <w:start w:w="120" w:type="dxa"/>
              <w:bottom w:w="100" w:type="dxa"/>
              <w:end w:w="120" w:type="dxa"/>
            </w:tcMar>
            <w:vAlign w:val="center"/>
          </w:tcPr>
          <w:p>
            <w:pPr>
              <w:spacing w:after="0"/>
            </w:pPr>
            <w:r>
              <w:rPr>
                <w:sz w:val="17"/>
              </w:rPr>
              <w:t>prx-backend/src/modules/notes/</w:t>
            </w:r>
          </w:p>
        </w:tc>
        <w:tc>
          <w:tcPr>
            <w:tcW w:type="dxa" w:w="3969"/>
            <w:tcMar>
              <w:top w:w="100" w:type="dxa"/>
              <w:start w:w="120" w:type="dxa"/>
              <w:bottom w:w="100" w:type="dxa"/>
              <w:end w:w="120" w:type="dxa"/>
            </w:tcMar>
            <w:vAlign w:val="center"/>
          </w:tcPr>
          <w:p>
            <w:pPr>
              <w:spacing w:after="0"/>
            </w:pPr>
            <w:r>
              <w:rPr>
                <w:sz w:val="17"/>
              </w:rPr>
              <w:t>Reglas de negocio, casos de uso, DTO, controladores, entidades y persistencia.</w:t>
            </w:r>
          </w:p>
        </w:tc>
      </w:tr>
      <w:tr>
        <w:tc>
          <w:tcPr>
            <w:tcW w:type="dxa" w:w="1701"/>
            <w:tcMar>
              <w:top w:w="100" w:type="dxa"/>
              <w:start w:w="120" w:type="dxa"/>
              <w:bottom w:w="100" w:type="dxa"/>
              <w:end w:w="120" w:type="dxa"/>
            </w:tcMar>
            <w:vAlign w:val="center"/>
            <w:shd w:fill="EAF2F8"/>
          </w:tcPr>
          <w:p>
            <w:pPr>
              <w:spacing w:after="0"/>
            </w:pPr>
            <w:r>
              <w:rPr>
                <w:sz w:val="17"/>
              </w:rPr>
              <w:t>Frontend de Notas</w:t>
            </w:r>
          </w:p>
        </w:tc>
        <w:tc>
          <w:tcPr>
            <w:tcW w:type="dxa" w:w="4082"/>
            <w:tcMar>
              <w:top w:w="100" w:type="dxa"/>
              <w:start w:w="120" w:type="dxa"/>
              <w:bottom w:w="100" w:type="dxa"/>
              <w:end w:w="120" w:type="dxa"/>
            </w:tcMar>
            <w:vAlign w:val="center"/>
            <w:shd w:fill="EAF2F8"/>
          </w:tcPr>
          <w:p>
            <w:pPr>
              <w:spacing w:after="0"/>
            </w:pPr>
            <w:r>
              <w:rPr>
                <w:sz w:val="17"/>
              </w:rPr>
              <w:t>prx-frontend/src/app/features/notes/</w:t>
            </w:r>
          </w:p>
        </w:tc>
        <w:tc>
          <w:tcPr>
            <w:tcW w:type="dxa" w:w="3969"/>
            <w:tcMar>
              <w:top w:w="100" w:type="dxa"/>
              <w:start w:w="120" w:type="dxa"/>
              <w:bottom w:w="100" w:type="dxa"/>
              <w:end w:w="120" w:type="dxa"/>
            </w:tcMar>
            <w:vAlign w:val="center"/>
            <w:shd w:fill="EAF2F8"/>
          </w:tcPr>
          <w:p>
            <w:pPr>
              <w:spacing w:after="0"/>
            </w:pPr>
            <w:r>
              <w:rPr>
                <w:sz w:val="17"/>
              </w:rPr>
              <w:t>Pantallas, formularios, fachada, estado, contratos y consumo de API.</w:t>
            </w:r>
          </w:p>
        </w:tc>
      </w:tr>
      <w:tr>
        <w:tc>
          <w:tcPr>
            <w:tcW w:type="dxa" w:w="1701"/>
            <w:tcMar>
              <w:top w:w="100" w:type="dxa"/>
              <w:start w:w="120" w:type="dxa"/>
              <w:bottom w:w="100" w:type="dxa"/>
              <w:end w:w="120" w:type="dxa"/>
            </w:tcMar>
            <w:vAlign w:val="center"/>
          </w:tcPr>
          <w:p>
            <w:pPr>
              <w:spacing w:after="0"/>
            </w:pPr>
            <w:r>
              <w:rPr>
                <w:sz w:val="17"/>
              </w:rPr>
              <w:t>Modelo de base de datos</w:t>
            </w:r>
          </w:p>
        </w:tc>
        <w:tc>
          <w:tcPr>
            <w:tcW w:type="dxa" w:w="4082"/>
            <w:tcMar>
              <w:top w:w="100" w:type="dxa"/>
              <w:start w:w="120" w:type="dxa"/>
              <w:bottom w:w="100" w:type="dxa"/>
              <w:end w:w="120" w:type="dxa"/>
            </w:tcMar>
            <w:vAlign w:val="center"/>
          </w:tcPr>
          <w:p>
            <w:pPr>
              <w:spacing w:after="0"/>
            </w:pPr>
            <w:r>
              <w:rPr>
                <w:sz w:val="17"/>
              </w:rPr>
              <w:t>prx-backend/prisma/schema.prisma</w:t>
            </w:r>
          </w:p>
        </w:tc>
        <w:tc>
          <w:tcPr>
            <w:tcW w:type="dxa" w:w="3969"/>
            <w:tcMar>
              <w:top w:w="100" w:type="dxa"/>
              <w:start w:w="120" w:type="dxa"/>
              <w:bottom w:w="100" w:type="dxa"/>
              <w:end w:w="120" w:type="dxa"/>
            </w:tcMar>
            <w:vAlign w:val="center"/>
          </w:tcPr>
          <w:p>
            <w:pPr>
              <w:spacing w:after="0"/>
            </w:pPr>
            <w:r>
              <w:rPr>
                <w:sz w:val="17"/>
              </w:rPr>
              <w:t>Modelos Note y NoteFile, relaciones y auditoría.</w:t>
            </w:r>
          </w:p>
        </w:tc>
      </w:tr>
      <w:tr>
        <w:tc>
          <w:tcPr>
            <w:tcW w:type="dxa" w:w="1701"/>
            <w:tcMar>
              <w:top w:w="100" w:type="dxa"/>
              <w:start w:w="120" w:type="dxa"/>
              <w:bottom w:w="100" w:type="dxa"/>
              <w:end w:w="120" w:type="dxa"/>
            </w:tcMar>
            <w:vAlign w:val="center"/>
            <w:shd w:fill="EAF2F8"/>
          </w:tcPr>
          <w:p>
            <w:pPr>
              <w:spacing w:after="0"/>
            </w:pPr>
            <w:r>
              <w:rPr>
                <w:sz w:val="17"/>
              </w:rPr>
              <w:t>Migraciones</w:t>
            </w:r>
          </w:p>
        </w:tc>
        <w:tc>
          <w:tcPr>
            <w:tcW w:type="dxa" w:w="4082"/>
            <w:tcMar>
              <w:top w:w="100" w:type="dxa"/>
              <w:start w:w="120" w:type="dxa"/>
              <w:bottom w:w="100" w:type="dxa"/>
              <w:end w:w="120" w:type="dxa"/>
            </w:tcMar>
            <w:vAlign w:val="center"/>
            <w:shd w:fill="EAF2F8"/>
          </w:tcPr>
          <w:p>
            <w:pPr>
              <w:spacing w:after="0"/>
            </w:pPr>
            <w:r>
              <w:rPr>
                <w:sz w:val="17"/>
              </w:rPr>
              <w:t>prx-backend/prisma/migrations/</w:t>
            </w:r>
          </w:p>
        </w:tc>
        <w:tc>
          <w:tcPr>
            <w:tcW w:type="dxa" w:w="3969"/>
            <w:tcMar>
              <w:top w:w="100" w:type="dxa"/>
              <w:start w:w="120" w:type="dxa"/>
              <w:bottom w:w="100" w:type="dxa"/>
              <w:end w:w="120" w:type="dxa"/>
            </w:tcMar>
            <w:vAlign w:val="center"/>
            <w:shd w:fill="EAF2F8"/>
          </w:tcPr>
          <w:p>
            <w:pPr>
              <w:spacing w:after="0"/>
            </w:pPr>
            <w:r>
              <w:rPr>
                <w:sz w:val="17"/>
              </w:rPr>
              <w:t>Cambios para tareas y enlaces asociados a las notas.</w:t>
            </w:r>
          </w:p>
        </w:tc>
      </w:tr>
      <w:tr>
        <w:tc>
          <w:tcPr>
            <w:tcW w:type="dxa" w:w="1701"/>
            <w:tcMar>
              <w:top w:w="100" w:type="dxa"/>
              <w:start w:w="120" w:type="dxa"/>
              <w:bottom w:w="100" w:type="dxa"/>
              <w:end w:w="120" w:type="dxa"/>
            </w:tcMar>
            <w:vAlign w:val="center"/>
          </w:tcPr>
          <w:p>
            <w:pPr>
              <w:spacing w:after="0"/>
            </w:pPr>
            <w:r>
              <w:rPr>
                <w:sz w:val="17"/>
              </w:rPr>
              <w:t>Rutas de navegación</w:t>
            </w:r>
          </w:p>
        </w:tc>
        <w:tc>
          <w:tcPr>
            <w:tcW w:type="dxa" w:w="4082"/>
            <w:tcMar>
              <w:top w:w="100" w:type="dxa"/>
              <w:start w:w="120" w:type="dxa"/>
              <w:bottom w:w="100" w:type="dxa"/>
              <w:end w:w="120" w:type="dxa"/>
            </w:tcMar>
            <w:vAlign w:val="center"/>
          </w:tcPr>
          <w:p>
            <w:pPr>
              <w:spacing w:after="0"/>
            </w:pPr>
            <w:r>
              <w:rPr>
                <w:sz w:val="17"/>
              </w:rPr>
              <w:t>prx-frontend/src/app/features/notes/presentation/notes.routes.ts</w:t>
            </w:r>
          </w:p>
        </w:tc>
        <w:tc>
          <w:tcPr>
            <w:tcW w:type="dxa" w:w="3969"/>
            <w:tcMar>
              <w:top w:w="100" w:type="dxa"/>
              <w:start w:w="120" w:type="dxa"/>
              <w:bottom w:w="100" w:type="dxa"/>
              <w:end w:w="120" w:type="dxa"/>
            </w:tcMar>
            <w:vAlign w:val="center"/>
          </w:tcPr>
          <w:p>
            <w:pPr>
              <w:spacing w:after="0"/>
            </w:pPr>
            <w:r>
              <w:rPr>
                <w:sz w:val="17"/>
              </w:rPr>
              <w:t>Listado, creación y detalle para repositorios normales e íntimos.</w:t>
            </w:r>
          </w:p>
        </w:tc>
      </w:tr>
      <w:tr>
        <w:tc>
          <w:tcPr>
            <w:tcW w:type="dxa" w:w="1701"/>
            <w:tcMar>
              <w:top w:w="100" w:type="dxa"/>
              <w:start w:w="120" w:type="dxa"/>
              <w:bottom w:w="100" w:type="dxa"/>
              <w:end w:w="120" w:type="dxa"/>
            </w:tcMar>
            <w:vAlign w:val="center"/>
            <w:shd w:fill="EAF2F8"/>
          </w:tcPr>
          <w:p>
            <w:pPr>
              <w:spacing w:after="0"/>
            </w:pPr>
            <w:r>
              <w:rPr>
                <w:sz w:val="17"/>
              </w:rPr>
              <w:t>Documentación del proyecto</w:t>
            </w:r>
          </w:p>
        </w:tc>
        <w:tc>
          <w:tcPr>
            <w:tcW w:type="dxa" w:w="4082"/>
            <w:tcMar>
              <w:top w:w="100" w:type="dxa"/>
              <w:start w:w="120" w:type="dxa"/>
              <w:bottom w:w="100" w:type="dxa"/>
              <w:end w:w="120" w:type="dxa"/>
            </w:tcMar>
            <w:vAlign w:val="center"/>
            <w:shd w:fill="EAF2F8"/>
          </w:tcPr>
          <w:p>
            <w:pPr>
              <w:spacing w:after="0"/>
            </w:pPr>
            <w:r>
              <w:rPr>
                <w:sz w:val="17"/>
              </w:rPr>
              <w:t>prx-documentation/</w:t>
            </w:r>
          </w:p>
        </w:tc>
        <w:tc>
          <w:tcPr>
            <w:tcW w:type="dxa" w:w="3969"/>
            <w:tcMar>
              <w:top w:w="100" w:type="dxa"/>
              <w:start w:w="120" w:type="dxa"/>
              <w:bottom w:w="100" w:type="dxa"/>
              <w:end w:w="120" w:type="dxa"/>
            </w:tcMar>
            <w:vAlign w:val="center"/>
            <w:shd w:fill="EAF2F8"/>
          </w:tcPr>
          <w:p>
            <w:pPr>
              <w:spacing w:after="0"/>
            </w:pPr>
            <w:r>
              <w:rPr>
                <w:sz w:val="17"/>
              </w:rPr>
              <w:t>Informes, guías y evidencias técnicas del Sprint.</w:t>
            </w:r>
          </w:p>
        </w:tc>
      </w:tr>
    </w:tbl>
    <w:p>
      <w:pPr>
        <w:spacing w:after="40"/>
      </w:pPr>
    </w:p>
    <w:p>
      <w:pPr>
        <w:pStyle w:val="Heading2"/>
      </w:pPr>
      <w:r>
        <w:t>Archivos clave por responsabilidad</w:t>
      </w:r>
    </w:p>
    <w:p>
      <w:pPr>
        <w:spacing w:after="80"/>
      </w:pPr>
      <w:r>
        <w:rPr>
          <w:b/>
        </w:rPr>
        <w:t xml:space="preserve">Creación: </w:t>
      </w:r>
      <w:r>
        <w:rPr>
          <w:rFonts w:ascii="Consolas" w:hAnsi="Consolas"/>
          <w:sz w:val="18"/>
        </w:rPr>
        <w:t>prx-backend/src/modules/notes/application/commands/create-note/create-note.handler.ts</w:t>
      </w:r>
    </w:p>
    <w:p>
      <w:pPr>
        <w:spacing w:after="80"/>
      </w:pPr>
      <w:r>
        <w:rPr>
          <w:b/>
        </w:rPr>
        <w:t xml:space="preserve">Edición: </w:t>
      </w:r>
      <w:r>
        <w:rPr>
          <w:rFonts w:ascii="Consolas" w:hAnsi="Consolas"/>
          <w:sz w:val="18"/>
        </w:rPr>
        <w:t>prx-backend/src/modules/notes/application/commands/update-note/update-note.handler.ts</w:t>
      </w:r>
    </w:p>
    <w:p>
      <w:pPr>
        <w:spacing w:after="80"/>
      </w:pPr>
      <w:r>
        <w:rPr>
          <w:b/>
        </w:rPr>
        <w:t xml:space="preserve">Eliminación: </w:t>
      </w:r>
      <w:r>
        <w:rPr>
          <w:rFonts w:ascii="Consolas" w:hAnsi="Consolas"/>
          <w:sz w:val="18"/>
        </w:rPr>
        <w:t>prx-backend/src/modules/notes/application/commands/delete-note/delete-note.handler.ts</w:t>
      </w:r>
    </w:p>
    <w:p>
      <w:pPr>
        <w:spacing w:after="80"/>
      </w:pPr>
      <w:r>
        <w:rPr>
          <w:b/>
        </w:rPr>
        <w:t xml:space="preserve">Contrato de persistencia: </w:t>
      </w:r>
      <w:r>
        <w:rPr>
          <w:rFonts w:ascii="Consolas" w:hAnsi="Consolas"/>
          <w:sz w:val="18"/>
        </w:rPr>
        <w:t>prx-backend/src/modules/notes/domain/repositories/note.repository.ts</w:t>
      </w:r>
    </w:p>
    <w:p>
      <w:pPr>
        <w:spacing w:after="80"/>
      </w:pPr>
      <w:r>
        <w:rPr>
          <w:b/>
        </w:rPr>
        <w:t xml:space="preserve">Persistencia Prisma: </w:t>
      </w:r>
      <w:r>
        <w:rPr>
          <w:rFonts w:ascii="Consolas" w:hAnsi="Consolas"/>
          <w:sz w:val="18"/>
        </w:rPr>
        <w:t>prx-backend/src/modules/notes/infrastructure/persistence/prisma-note.repository.ts</w:t>
      </w:r>
    </w:p>
    <w:p>
      <w:pPr>
        <w:spacing w:after="80"/>
      </w:pPr>
      <w:r>
        <w:rPr>
          <w:b/>
        </w:rPr>
        <w:t xml:space="preserve">API REST: </w:t>
      </w:r>
      <w:r>
        <w:rPr>
          <w:rFonts w:ascii="Consolas" w:hAnsi="Consolas"/>
          <w:sz w:val="18"/>
        </w:rPr>
        <w:t>prx-backend/src/modules/notes/presentation/controllers/notes.controller.ts</w:t>
      </w:r>
    </w:p>
    <w:p>
      <w:pPr>
        <w:spacing w:after="80"/>
      </w:pPr>
      <w:r>
        <w:rPr>
          <w:b/>
        </w:rPr>
        <w:t xml:space="preserve">Listado de notas: </w:t>
      </w:r>
      <w:r>
        <w:rPr>
          <w:rFonts w:ascii="Consolas" w:hAnsi="Consolas"/>
          <w:sz w:val="18"/>
        </w:rPr>
        <w:t>prx-frontend/src/app/features/notes/presentation/pages/notes-page/</w:t>
      </w:r>
    </w:p>
    <w:p>
      <w:pPr>
        <w:spacing w:after="80"/>
      </w:pPr>
      <w:r>
        <w:rPr>
          <w:b/>
        </w:rPr>
        <w:t xml:space="preserve">Creación de notas: </w:t>
      </w:r>
      <w:r>
        <w:rPr>
          <w:rFonts w:ascii="Consolas" w:hAnsi="Consolas"/>
          <w:sz w:val="18"/>
        </w:rPr>
        <w:t>prx-frontend/src/app/features/notes/presentation/pages/create-note-page/</w:t>
      </w:r>
    </w:p>
    <w:p>
      <w:pPr>
        <w:spacing w:after="80"/>
      </w:pPr>
      <w:r>
        <w:rPr>
          <w:b/>
        </w:rPr>
        <w:t xml:space="preserve">Detalle y edición: </w:t>
      </w:r>
      <w:r>
        <w:rPr>
          <w:rFonts w:ascii="Consolas" w:hAnsi="Consolas"/>
          <w:sz w:val="18"/>
        </w:rPr>
        <w:t>prx-frontend/src/app/features/notes/presentation/pages/note-detail-page/</w:t>
      </w:r>
    </w:p>
    <w:p>
      <w:pPr>
        <w:spacing w:after="80"/>
      </w:pPr>
      <w:r>
        <w:rPr>
          <w:b/>
        </w:rPr>
        <w:t xml:space="preserve">Coordinación frontend: </w:t>
      </w:r>
      <w:r>
        <w:rPr>
          <w:rFonts w:ascii="Consolas" w:hAnsi="Consolas"/>
          <w:sz w:val="18"/>
        </w:rPr>
        <w:t>prx-frontend/src/app/features/notes/application/facades/note.facade.ts</w:t>
      </w:r>
    </w:p>
    <w:p>
      <w:pPr>
        <w:pStyle w:val="Heading1"/>
      </w:pPr>
      <w:r>
        <w:t>Resumen del trabajo realizado</w:t>
      </w:r>
    </w:p>
    <w:p>
      <w:r>
        <w:t>Durante el Sprint 1 implementé el módulo de Notas como una funcionalidad completa de frontend y backend. El resultado permite crear, consultar, editar y eliminar notas asociadas a un repositorio, respetando permisos de propietario, creador y miembros autorizados. También incorporé tareas, enlaces, archivos e imágenes, paginación, descarga segura, validaciones y confirmaciones antes de acciones que pueden eliminar información.</w:t>
      </w:r>
    </w:p>
    <w:tbl>
      <w:tblPr>
        <w:tblStyle w:val="TableGrid"/>
        <w:tblW w:type="auto" w:w="0"/>
        <w:jc w:val="center"/>
        <w:tblLook w:firstColumn="1" w:firstRow="1" w:lastColumn="0" w:lastRow="0" w:noHBand="0" w:noVBand="1" w:val="04A0"/>
      </w:tblPr>
      <w:tblGrid>
        <w:gridCol w:w="3211"/>
        <w:gridCol w:w="3211"/>
        <w:gridCol w:w="3211"/>
      </w:tblGrid>
      <w:tr>
        <w:trPr>
          <w:tblHeader w:val="true"/>
        </w:trPr>
        <w:tc>
          <w:tcPr>
            <w:tcW w:type="dxa" w:w="1701"/>
            <w:shd w:fill="1F4E78"/>
            <w:tcMar>
              <w:top w:w="100" w:type="dxa"/>
              <w:start w:w="120" w:type="dxa"/>
              <w:bottom w:w="100" w:type="dxa"/>
              <w:end w:w="120" w:type="dxa"/>
            </w:tcMar>
            <w:vAlign w:val="center"/>
          </w:tcPr>
          <w:p>
            <w:pPr>
              <w:jc w:val="center"/>
            </w:pPr>
            <w:r>
              <w:rPr>
                <w:b/>
                <w:color w:val="FFFFFF"/>
                <w:sz w:val="18"/>
              </w:rPr>
              <w:t>Funcionalidad</w:t>
            </w:r>
          </w:p>
        </w:tc>
        <w:tc>
          <w:tcPr>
            <w:tcW w:type="dxa" w:w="3969"/>
            <w:shd w:fill="1F4E78"/>
            <w:tcMar>
              <w:top w:w="100" w:type="dxa"/>
              <w:start w:w="120" w:type="dxa"/>
              <w:bottom w:w="100" w:type="dxa"/>
              <w:end w:w="120" w:type="dxa"/>
            </w:tcMar>
            <w:vAlign w:val="center"/>
          </w:tcPr>
          <w:p>
            <w:pPr>
              <w:jc w:val="center"/>
            </w:pPr>
            <w:r>
              <w:rPr>
                <w:b/>
                <w:color w:val="FFFFFF"/>
                <w:sz w:val="18"/>
              </w:rPr>
              <w:t>Resultado implementado</w:t>
            </w:r>
          </w:p>
        </w:tc>
        <w:tc>
          <w:tcPr>
            <w:tcW w:type="dxa" w:w="4082"/>
            <w:shd w:fill="1F4E78"/>
            <w:tcMar>
              <w:top w:w="100" w:type="dxa"/>
              <w:start w:w="120" w:type="dxa"/>
              <w:bottom w:w="100" w:type="dxa"/>
              <w:end w:w="120" w:type="dxa"/>
            </w:tcMar>
            <w:vAlign w:val="center"/>
          </w:tcPr>
          <w:p>
            <w:pPr>
              <w:jc w:val="center"/>
            </w:pPr>
            <w:r>
              <w:rPr>
                <w:b/>
                <w:color w:val="FFFFFF"/>
                <w:sz w:val="18"/>
              </w:rPr>
              <w:t>Evidencia principal</w:t>
            </w:r>
          </w:p>
        </w:tc>
      </w:tr>
      <w:tr>
        <w:tc>
          <w:tcPr>
            <w:tcW w:type="dxa" w:w="1701"/>
            <w:tcMar>
              <w:top w:w="100" w:type="dxa"/>
              <w:start w:w="120" w:type="dxa"/>
              <w:bottom w:w="100" w:type="dxa"/>
              <w:end w:w="120" w:type="dxa"/>
            </w:tcMar>
            <w:vAlign w:val="center"/>
          </w:tcPr>
          <w:p>
            <w:pPr>
              <w:spacing w:after="0"/>
            </w:pPr>
            <w:r>
              <w:rPr>
                <w:sz w:val="17"/>
              </w:rPr>
              <w:t>Crear nota</w:t>
            </w:r>
          </w:p>
        </w:tc>
        <w:tc>
          <w:tcPr>
            <w:tcW w:type="dxa" w:w="3969"/>
            <w:tcMar>
              <w:top w:w="100" w:type="dxa"/>
              <w:start w:w="120" w:type="dxa"/>
              <w:bottom w:w="100" w:type="dxa"/>
              <w:end w:w="120" w:type="dxa"/>
            </w:tcMar>
            <w:vAlign w:val="center"/>
          </w:tcPr>
          <w:p>
            <w:pPr>
              <w:spacing w:after="0"/>
            </w:pPr>
            <w:r>
              <w:rPr>
                <w:sz w:val="17"/>
              </w:rPr>
              <w:t>Título, contenido, enlaces y hasta cinco archivos o imágenes.</w:t>
            </w:r>
          </w:p>
        </w:tc>
        <w:tc>
          <w:tcPr>
            <w:tcW w:type="dxa" w:w="4082"/>
            <w:tcMar>
              <w:top w:w="100" w:type="dxa"/>
              <w:start w:w="120" w:type="dxa"/>
              <w:bottom w:w="100" w:type="dxa"/>
              <w:end w:w="120" w:type="dxa"/>
            </w:tcMar>
            <w:vAlign w:val="center"/>
          </w:tcPr>
          <w:p>
            <w:pPr>
              <w:spacing w:after="0"/>
            </w:pPr>
            <w:r>
              <w:rPr>
                <w:sz w:val="17"/>
              </w:rPr>
              <w:t>CreateNoteHandler y CreateNotePageComponent</w:t>
            </w:r>
          </w:p>
        </w:tc>
      </w:tr>
      <w:tr>
        <w:tc>
          <w:tcPr>
            <w:tcW w:type="dxa" w:w="1701"/>
            <w:tcMar>
              <w:top w:w="100" w:type="dxa"/>
              <w:start w:w="120" w:type="dxa"/>
              <w:bottom w:w="100" w:type="dxa"/>
              <w:end w:w="120" w:type="dxa"/>
            </w:tcMar>
            <w:vAlign w:val="center"/>
            <w:shd w:fill="EAF2F8"/>
          </w:tcPr>
          <w:p>
            <w:pPr>
              <w:spacing w:after="0"/>
            </w:pPr>
            <w:r>
              <w:rPr>
                <w:sz w:val="17"/>
              </w:rPr>
              <w:t>Listar notas</w:t>
            </w:r>
          </w:p>
        </w:tc>
        <w:tc>
          <w:tcPr>
            <w:tcW w:type="dxa" w:w="3969"/>
            <w:tcMar>
              <w:top w:w="100" w:type="dxa"/>
              <w:start w:w="120" w:type="dxa"/>
              <w:bottom w:w="100" w:type="dxa"/>
              <w:end w:w="120" w:type="dxa"/>
            </w:tcMar>
            <w:vAlign w:val="center"/>
            <w:shd w:fill="EAF2F8"/>
          </w:tcPr>
          <w:p>
            <w:pPr>
              <w:spacing w:after="0"/>
            </w:pPr>
            <w:r>
              <w:rPr>
                <w:sz w:val="17"/>
              </w:rPr>
              <w:t>Listado paginado por repositorio con vista previa y autor.</w:t>
            </w:r>
          </w:p>
        </w:tc>
        <w:tc>
          <w:tcPr>
            <w:tcW w:type="dxa" w:w="4082"/>
            <w:tcMar>
              <w:top w:w="100" w:type="dxa"/>
              <w:start w:w="120" w:type="dxa"/>
              <w:bottom w:w="100" w:type="dxa"/>
              <w:end w:w="120" w:type="dxa"/>
            </w:tcMar>
            <w:vAlign w:val="center"/>
            <w:shd w:fill="EAF2F8"/>
          </w:tcPr>
          <w:p>
            <w:pPr>
              <w:spacing w:after="0"/>
            </w:pPr>
            <w:r>
              <w:rPr>
                <w:sz w:val="17"/>
              </w:rPr>
              <w:t>GetNotesHandler y NotesPageComponent</w:t>
            </w:r>
          </w:p>
        </w:tc>
      </w:tr>
      <w:tr>
        <w:tc>
          <w:tcPr>
            <w:tcW w:type="dxa" w:w="1701"/>
            <w:tcMar>
              <w:top w:w="100" w:type="dxa"/>
              <w:start w:w="120" w:type="dxa"/>
              <w:bottom w:w="100" w:type="dxa"/>
              <w:end w:w="120" w:type="dxa"/>
            </w:tcMar>
            <w:vAlign w:val="center"/>
          </w:tcPr>
          <w:p>
            <w:pPr>
              <w:spacing w:after="0"/>
            </w:pPr>
            <w:r>
              <w:rPr>
                <w:sz w:val="17"/>
              </w:rPr>
              <w:t>Ver detalle</w:t>
            </w:r>
          </w:p>
        </w:tc>
        <w:tc>
          <w:tcPr>
            <w:tcW w:type="dxa" w:w="3969"/>
            <w:tcMar>
              <w:top w:w="100" w:type="dxa"/>
              <w:start w:w="120" w:type="dxa"/>
              <w:bottom w:w="100" w:type="dxa"/>
              <w:end w:w="120" w:type="dxa"/>
            </w:tcMar>
            <w:vAlign w:val="center"/>
          </w:tcPr>
          <w:p>
            <w:pPr>
              <w:spacing w:after="0"/>
            </w:pPr>
            <w:r>
              <w:rPr>
                <w:sz w:val="17"/>
              </w:rPr>
              <w:t>Contenido completo, tareas, enlaces y adjuntos.</w:t>
            </w:r>
          </w:p>
        </w:tc>
        <w:tc>
          <w:tcPr>
            <w:tcW w:type="dxa" w:w="4082"/>
            <w:tcMar>
              <w:top w:w="100" w:type="dxa"/>
              <w:start w:w="120" w:type="dxa"/>
              <w:bottom w:w="100" w:type="dxa"/>
              <w:end w:w="120" w:type="dxa"/>
            </w:tcMar>
            <w:vAlign w:val="center"/>
          </w:tcPr>
          <w:p>
            <w:pPr>
              <w:spacing w:after="0"/>
            </w:pPr>
            <w:r>
              <w:rPr>
                <w:sz w:val="17"/>
              </w:rPr>
              <w:t>GetNoteByIdHandler y NoteDetailPageComponent</w:t>
            </w:r>
          </w:p>
        </w:tc>
      </w:tr>
      <w:tr>
        <w:tc>
          <w:tcPr>
            <w:tcW w:type="dxa" w:w="1701"/>
            <w:tcMar>
              <w:top w:w="100" w:type="dxa"/>
              <w:start w:w="120" w:type="dxa"/>
              <w:bottom w:w="100" w:type="dxa"/>
              <w:end w:w="120" w:type="dxa"/>
            </w:tcMar>
            <w:vAlign w:val="center"/>
            <w:shd w:fill="EAF2F8"/>
          </w:tcPr>
          <w:p>
            <w:pPr>
              <w:spacing w:after="0"/>
            </w:pPr>
            <w:r>
              <w:rPr>
                <w:sz w:val="17"/>
              </w:rPr>
              <w:t>Editar nota</w:t>
            </w:r>
          </w:p>
        </w:tc>
        <w:tc>
          <w:tcPr>
            <w:tcW w:type="dxa" w:w="3969"/>
            <w:tcMar>
              <w:top w:w="100" w:type="dxa"/>
              <w:start w:w="120" w:type="dxa"/>
              <w:bottom w:w="100" w:type="dxa"/>
              <w:end w:w="120" w:type="dxa"/>
            </w:tcMar>
            <w:vAlign w:val="center"/>
            <w:shd w:fill="EAF2F8"/>
          </w:tcPr>
          <w:p>
            <w:pPr>
              <w:spacing w:after="0"/>
            </w:pPr>
            <w:r>
              <w:rPr>
                <w:sz w:val="17"/>
              </w:rPr>
              <w:t>Actualización de campos, tareas, enlaces y archivos conservados o nuevos.</w:t>
            </w:r>
          </w:p>
        </w:tc>
        <w:tc>
          <w:tcPr>
            <w:tcW w:type="dxa" w:w="4082"/>
            <w:tcMar>
              <w:top w:w="100" w:type="dxa"/>
              <w:start w:w="120" w:type="dxa"/>
              <w:bottom w:w="100" w:type="dxa"/>
              <w:end w:w="120" w:type="dxa"/>
            </w:tcMar>
            <w:vAlign w:val="center"/>
            <w:shd w:fill="EAF2F8"/>
          </w:tcPr>
          <w:p>
            <w:pPr>
              <w:spacing w:after="0"/>
            </w:pPr>
            <w:r>
              <w:rPr>
                <w:sz w:val="17"/>
              </w:rPr>
              <w:t>UpdateNoteHandler y NoteDetailPageComponent</w:t>
            </w:r>
          </w:p>
        </w:tc>
      </w:tr>
      <w:tr>
        <w:tc>
          <w:tcPr>
            <w:tcW w:type="dxa" w:w="1701"/>
            <w:tcMar>
              <w:top w:w="100" w:type="dxa"/>
              <w:start w:w="120" w:type="dxa"/>
              <w:bottom w:w="100" w:type="dxa"/>
              <w:end w:w="120" w:type="dxa"/>
            </w:tcMar>
            <w:vAlign w:val="center"/>
          </w:tcPr>
          <w:p>
            <w:pPr>
              <w:spacing w:after="0"/>
            </w:pPr>
            <w:r>
              <w:rPr>
                <w:sz w:val="17"/>
              </w:rPr>
              <w:t>Eliminar nota</w:t>
            </w:r>
          </w:p>
        </w:tc>
        <w:tc>
          <w:tcPr>
            <w:tcW w:type="dxa" w:w="3969"/>
            <w:tcMar>
              <w:top w:w="100" w:type="dxa"/>
              <w:start w:w="120" w:type="dxa"/>
              <w:bottom w:w="100" w:type="dxa"/>
              <w:end w:w="120" w:type="dxa"/>
            </w:tcMar>
            <w:vAlign w:val="center"/>
          </w:tcPr>
          <w:p>
            <w:pPr>
              <w:spacing w:after="0"/>
            </w:pPr>
            <w:r>
              <w:rPr>
                <w:sz w:val="17"/>
              </w:rPr>
              <w:t>Eliminación lógica con control de permisos y confirmación visual.</w:t>
            </w:r>
          </w:p>
        </w:tc>
        <w:tc>
          <w:tcPr>
            <w:tcW w:type="dxa" w:w="4082"/>
            <w:tcMar>
              <w:top w:w="100" w:type="dxa"/>
              <w:start w:w="120" w:type="dxa"/>
              <w:bottom w:w="100" w:type="dxa"/>
              <w:end w:w="120" w:type="dxa"/>
            </w:tcMar>
            <w:vAlign w:val="center"/>
          </w:tcPr>
          <w:p>
            <w:pPr>
              <w:spacing w:after="0"/>
            </w:pPr>
            <w:r>
              <w:rPr>
                <w:sz w:val="17"/>
              </w:rPr>
              <w:t>DeleteNoteHandler y AppConfirmService</w:t>
            </w:r>
          </w:p>
        </w:tc>
      </w:tr>
      <w:tr>
        <w:tc>
          <w:tcPr>
            <w:tcW w:type="dxa" w:w="1701"/>
            <w:tcMar>
              <w:top w:w="100" w:type="dxa"/>
              <w:start w:w="120" w:type="dxa"/>
              <w:bottom w:w="100" w:type="dxa"/>
              <w:end w:w="120" w:type="dxa"/>
            </w:tcMar>
            <w:vAlign w:val="center"/>
            <w:shd w:fill="EAF2F8"/>
          </w:tcPr>
          <w:p>
            <w:pPr>
              <w:spacing w:after="0"/>
            </w:pPr>
            <w:r>
              <w:rPr>
                <w:sz w:val="17"/>
              </w:rPr>
              <w:t>Validar título</w:t>
            </w:r>
          </w:p>
        </w:tc>
        <w:tc>
          <w:tcPr>
            <w:tcW w:type="dxa" w:w="3969"/>
            <w:tcMar>
              <w:top w:w="100" w:type="dxa"/>
              <w:start w:w="120" w:type="dxa"/>
              <w:bottom w:w="100" w:type="dxa"/>
              <w:end w:w="120" w:type="dxa"/>
            </w:tcMar>
            <w:vAlign w:val="center"/>
            <w:shd w:fill="EAF2F8"/>
          </w:tcPr>
          <w:p>
            <w:pPr>
              <w:spacing w:after="0"/>
            </w:pPr>
            <w:r>
              <w:rPr>
                <w:sz w:val="17"/>
              </w:rPr>
              <w:t>No permite dos notas activas con el mismo título en un repositorio.</w:t>
            </w:r>
          </w:p>
        </w:tc>
        <w:tc>
          <w:tcPr>
            <w:tcW w:type="dxa" w:w="4082"/>
            <w:tcMar>
              <w:top w:w="100" w:type="dxa"/>
              <w:start w:w="120" w:type="dxa"/>
              <w:bottom w:w="100" w:type="dxa"/>
              <w:end w:w="120" w:type="dxa"/>
            </w:tcMar>
            <w:vAlign w:val="center"/>
            <w:shd w:fill="EAF2F8"/>
          </w:tcPr>
          <w:p>
            <w:pPr>
              <w:spacing w:after="0"/>
            </w:pPr>
            <w:r>
              <w:rPr>
                <w:sz w:val="17"/>
              </w:rPr>
              <w:t>findActiveByRepositoryIdAndTitle</w:t>
            </w:r>
          </w:p>
        </w:tc>
      </w:tr>
      <w:tr>
        <w:tc>
          <w:tcPr>
            <w:tcW w:type="dxa" w:w="1701"/>
            <w:tcMar>
              <w:top w:w="100" w:type="dxa"/>
              <w:start w:w="120" w:type="dxa"/>
              <w:bottom w:w="100" w:type="dxa"/>
              <w:end w:w="120" w:type="dxa"/>
            </w:tcMar>
            <w:vAlign w:val="center"/>
          </w:tcPr>
          <w:p>
            <w:pPr>
              <w:spacing w:after="0"/>
            </w:pPr>
            <w:r>
              <w:rPr>
                <w:sz w:val="17"/>
              </w:rPr>
              <w:t>Validar campos</w:t>
            </w:r>
          </w:p>
        </w:tc>
        <w:tc>
          <w:tcPr>
            <w:tcW w:type="dxa" w:w="3969"/>
            <w:tcMar>
              <w:top w:w="100" w:type="dxa"/>
              <w:start w:w="120" w:type="dxa"/>
              <w:bottom w:w="100" w:type="dxa"/>
              <w:end w:w="120" w:type="dxa"/>
            </w:tcMar>
            <w:vAlign w:val="center"/>
          </w:tcPr>
          <w:p>
            <w:pPr>
              <w:spacing w:after="0"/>
            </w:pPr>
            <w:r>
              <w:rPr>
                <w:sz w:val="17"/>
              </w:rPr>
              <w:t>Obligatorios, longitudes, URL, cantidad y tamaño de archivos.</w:t>
            </w:r>
          </w:p>
        </w:tc>
        <w:tc>
          <w:tcPr>
            <w:tcW w:type="dxa" w:w="4082"/>
            <w:tcMar>
              <w:top w:w="100" w:type="dxa"/>
              <w:start w:w="120" w:type="dxa"/>
              <w:bottom w:w="100" w:type="dxa"/>
              <w:end w:w="120" w:type="dxa"/>
            </w:tcMar>
            <w:vAlign w:val="center"/>
          </w:tcPr>
          <w:p>
            <w:pPr>
              <w:spacing w:after="0"/>
            </w:pPr>
            <w:r>
              <w:rPr>
                <w:sz w:val="17"/>
              </w:rPr>
              <w:t>DTO, pipes y validaciones Angular</w:t>
            </w:r>
          </w:p>
        </w:tc>
      </w:tr>
      <w:tr>
        <w:tc>
          <w:tcPr>
            <w:tcW w:type="dxa" w:w="1701"/>
            <w:tcMar>
              <w:top w:w="100" w:type="dxa"/>
              <w:start w:w="120" w:type="dxa"/>
              <w:bottom w:w="100" w:type="dxa"/>
              <w:end w:w="120" w:type="dxa"/>
            </w:tcMar>
            <w:vAlign w:val="center"/>
            <w:shd w:fill="EAF2F8"/>
          </w:tcPr>
          <w:p>
            <w:pPr>
              <w:spacing w:after="0"/>
            </w:pPr>
            <w:r>
              <w:rPr>
                <w:sz w:val="17"/>
              </w:rPr>
              <w:t>Gestionar imágenes</w:t>
            </w:r>
          </w:p>
        </w:tc>
        <w:tc>
          <w:tcPr>
            <w:tcW w:type="dxa" w:w="3969"/>
            <w:tcMar>
              <w:top w:w="100" w:type="dxa"/>
              <w:start w:w="120" w:type="dxa"/>
              <w:bottom w:w="100" w:type="dxa"/>
              <w:end w:w="120" w:type="dxa"/>
            </w:tcMar>
            <w:vAlign w:val="center"/>
            <w:shd w:fill="EAF2F8"/>
          </w:tcPr>
          <w:p>
            <w:pPr>
              <w:spacing w:after="0"/>
            </w:pPr>
            <w:r>
              <w:rPr>
                <w:sz w:val="17"/>
              </w:rPr>
              <w:t>Carga, vista previa y edición antes de guardar.</w:t>
            </w:r>
          </w:p>
        </w:tc>
        <w:tc>
          <w:tcPr>
            <w:tcW w:type="dxa" w:w="4082"/>
            <w:tcMar>
              <w:top w:w="100" w:type="dxa"/>
              <w:start w:w="120" w:type="dxa"/>
              <w:bottom w:w="100" w:type="dxa"/>
              <w:end w:w="120" w:type="dxa"/>
            </w:tcMar>
            <w:vAlign w:val="center"/>
            <w:shd w:fill="EAF2F8"/>
          </w:tcPr>
          <w:p>
            <w:pPr>
              <w:spacing w:after="0"/>
            </w:pPr>
            <w:r>
              <w:rPr>
                <w:sz w:val="17"/>
              </w:rPr>
              <w:t>NoteImageEditorComponent</w:t>
            </w:r>
          </w:p>
        </w:tc>
      </w:tr>
    </w:tbl>
    <w:p>
      <w:pPr>
        <w:spacing w:after="40"/>
      </w:pPr>
    </w:p>
    <w:p>
      <w:pPr>
        <w:pStyle w:val="Heading1"/>
      </w:pPr>
      <w:r>
        <w:t>Arquitectura del módulo</w:t>
      </w:r>
    </w:p>
    <w:p>
      <w:r>
        <w:t>Organicé Notas con una arquitectura por capas. La presentación recibe la solicitud; la aplicación ejecuta el caso de uso; el dominio define las entidades y contratos; y la infraestructura implementa el acceso a Prisma y al almacenamiento. Esta separación reduce el acoplamiento y facilita cambiar una tecnología sin reescribir la regla de negocio.</w:t>
      </w:r>
    </w:p>
    <w:tbl>
      <w:tblPr>
        <w:tblStyle w:val="TableGrid"/>
        <w:tblW w:type="auto" w:w="0"/>
        <w:jc w:val="center"/>
        <w:tblLook w:firstColumn="1" w:firstRow="1" w:lastColumn="0" w:lastRow="0" w:noHBand="0" w:noVBand="1" w:val="04A0"/>
      </w:tblPr>
      <w:tblGrid>
        <w:gridCol w:w="3211"/>
        <w:gridCol w:w="3211"/>
        <w:gridCol w:w="3211"/>
      </w:tblGrid>
      <w:tr>
        <w:trPr>
          <w:tblHeader w:val="true"/>
        </w:trPr>
        <w:tc>
          <w:tcPr>
            <w:tcW w:type="dxa" w:w="1701"/>
            <w:shd w:fill="1F4E78"/>
            <w:tcMar>
              <w:top w:w="100" w:type="dxa"/>
              <w:start w:w="120" w:type="dxa"/>
              <w:bottom w:w="100" w:type="dxa"/>
              <w:end w:w="120" w:type="dxa"/>
            </w:tcMar>
            <w:vAlign w:val="center"/>
          </w:tcPr>
          <w:p>
            <w:pPr>
              <w:jc w:val="center"/>
            </w:pPr>
            <w:r>
              <w:rPr>
                <w:b/>
                <w:color w:val="FFFFFF"/>
                <w:sz w:val="18"/>
              </w:rPr>
              <w:t>Capa</w:t>
            </w:r>
          </w:p>
        </w:tc>
        <w:tc>
          <w:tcPr>
            <w:tcW w:type="dxa" w:w="3969"/>
            <w:shd w:fill="1F4E78"/>
            <w:tcMar>
              <w:top w:w="100" w:type="dxa"/>
              <w:start w:w="120" w:type="dxa"/>
              <w:bottom w:w="100" w:type="dxa"/>
              <w:end w:w="120" w:type="dxa"/>
            </w:tcMar>
            <w:vAlign w:val="center"/>
          </w:tcPr>
          <w:p>
            <w:pPr>
              <w:jc w:val="center"/>
            </w:pPr>
            <w:r>
              <w:rPr>
                <w:b/>
                <w:color w:val="FFFFFF"/>
                <w:sz w:val="18"/>
              </w:rPr>
              <w:t>Backend</w:t>
            </w:r>
          </w:p>
        </w:tc>
        <w:tc>
          <w:tcPr>
            <w:tcW w:type="dxa" w:w="3969"/>
            <w:shd w:fill="1F4E78"/>
            <w:tcMar>
              <w:top w:w="100" w:type="dxa"/>
              <w:start w:w="120" w:type="dxa"/>
              <w:bottom w:w="100" w:type="dxa"/>
              <w:end w:w="120" w:type="dxa"/>
            </w:tcMar>
            <w:vAlign w:val="center"/>
          </w:tcPr>
          <w:p>
            <w:pPr>
              <w:jc w:val="center"/>
            </w:pPr>
            <w:r>
              <w:rPr>
                <w:b/>
                <w:color w:val="FFFFFF"/>
                <w:sz w:val="18"/>
              </w:rPr>
              <w:t>Frontend</w:t>
            </w:r>
          </w:p>
        </w:tc>
      </w:tr>
      <w:tr>
        <w:tc>
          <w:tcPr>
            <w:tcW w:type="dxa" w:w="1701"/>
            <w:tcMar>
              <w:top w:w="100" w:type="dxa"/>
              <w:start w:w="120" w:type="dxa"/>
              <w:bottom w:w="100" w:type="dxa"/>
              <w:end w:w="120" w:type="dxa"/>
            </w:tcMar>
            <w:vAlign w:val="center"/>
          </w:tcPr>
          <w:p>
            <w:pPr>
              <w:spacing w:after="0"/>
            </w:pPr>
            <w:r>
              <w:rPr>
                <w:sz w:val="17"/>
              </w:rPr>
              <w:t>Presentación</w:t>
            </w:r>
          </w:p>
        </w:tc>
        <w:tc>
          <w:tcPr>
            <w:tcW w:type="dxa" w:w="3969"/>
            <w:tcMar>
              <w:top w:w="100" w:type="dxa"/>
              <w:start w:w="120" w:type="dxa"/>
              <w:bottom w:w="100" w:type="dxa"/>
              <w:end w:w="120" w:type="dxa"/>
            </w:tcMar>
            <w:vAlign w:val="center"/>
          </w:tcPr>
          <w:p>
            <w:pPr>
              <w:spacing w:after="0"/>
            </w:pPr>
            <w:r>
              <w:rPr>
                <w:sz w:val="17"/>
              </w:rPr>
              <w:t>Controller, pipes y endpoints HTTP.</w:t>
            </w:r>
          </w:p>
        </w:tc>
        <w:tc>
          <w:tcPr>
            <w:tcW w:type="dxa" w:w="3969"/>
            <w:tcMar>
              <w:top w:w="100" w:type="dxa"/>
              <w:start w:w="120" w:type="dxa"/>
              <w:bottom w:w="100" w:type="dxa"/>
              <w:end w:w="120" w:type="dxa"/>
            </w:tcMar>
            <w:vAlign w:val="center"/>
          </w:tcPr>
          <w:p>
            <w:pPr>
              <w:spacing w:after="0"/>
            </w:pPr>
            <w:r>
              <w:rPr>
                <w:sz w:val="17"/>
              </w:rPr>
              <w:t>Pages, componentes HTML y rutas.</w:t>
            </w:r>
          </w:p>
        </w:tc>
      </w:tr>
      <w:tr>
        <w:tc>
          <w:tcPr>
            <w:tcW w:type="dxa" w:w="1701"/>
            <w:tcMar>
              <w:top w:w="100" w:type="dxa"/>
              <w:start w:w="120" w:type="dxa"/>
              <w:bottom w:w="100" w:type="dxa"/>
              <w:end w:w="120" w:type="dxa"/>
            </w:tcMar>
            <w:vAlign w:val="center"/>
            <w:shd w:fill="EAF2F8"/>
          </w:tcPr>
          <w:p>
            <w:pPr>
              <w:spacing w:after="0"/>
            </w:pPr>
            <w:r>
              <w:rPr>
                <w:sz w:val="17"/>
              </w:rPr>
              <w:t>Aplicación</w:t>
            </w:r>
          </w:p>
        </w:tc>
        <w:tc>
          <w:tcPr>
            <w:tcW w:type="dxa" w:w="3969"/>
            <w:tcMar>
              <w:top w:w="100" w:type="dxa"/>
              <w:start w:w="120" w:type="dxa"/>
              <w:bottom w:w="100" w:type="dxa"/>
              <w:end w:w="120" w:type="dxa"/>
            </w:tcMar>
            <w:vAlign w:val="center"/>
            <w:shd w:fill="EAF2F8"/>
          </w:tcPr>
          <w:p>
            <w:pPr>
              <w:spacing w:after="0"/>
            </w:pPr>
            <w:r>
              <w:rPr>
                <w:sz w:val="17"/>
              </w:rPr>
              <w:t>Commands, queries, handlers, DTO y mappers.</w:t>
            </w:r>
          </w:p>
        </w:tc>
        <w:tc>
          <w:tcPr>
            <w:tcW w:type="dxa" w:w="3969"/>
            <w:tcMar>
              <w:top w:w="100" w:type="dxa"/>
              <w:start w:w="120" w:type="dxa"/>
              <w:bottom w:w="100" w:type="dxa"/>
              <w:end w:w="120" w:type="dxa"/>
            </w:tcMar>
            <w:vAlign w:val="center"/>
            <w:shd w:fill="EAF2F8"/>
          </w:tcPr>
          <w:p>
            <w:pPr>
              <w:spacing w:after="0"/>
            </w:pPr>
            <w:r>
              <w:rPr>
                <w:sz w:val="17"/>
              </w:rPr>
              <w:t>Facade y formularios.</w:t>
            </w:r>
          </w:p>
        </w:tc>
      </w:tr>
      <w:tr>
        <w:tc>
          <w:tcPr>
            <w:tcW w:type="dxa" w:w="1701"/>
            <w:tcMar>
              <w:top w:w="100" w:type="dxa"/>
              <w:start w:w="120" w:type="dxa"/>
              <w:bottom w:w="100" w:type="dxa"/>
              <w:end w:w="120" w:type="dxa"/>
            </w:tcMar>
            <w:vAlign w:val="center"/>
          </w:tcPr>
          <w:p>
            <w:pPr>
              <w:spacing w:after="0"/>
            </w:pPr>
            <w:r>
              <w:rPr>
                <w:sz w:val="17"/>
              </w:rPr>
              <w:t>Dominio</w:t>
            </w:r>
          </w:p>
        </w:tc>
        <w:tc>
          <w:tcPr>
            <w:tcW w:type="dxa" w:w="3969"/>
            <w:tcMar>
              <w:top w:w="100" w:type="dxa"/>
              <w:start w:w="120" w:type="dxa"/>
              <w:bottom w:w="100" w:type="dxa"/>
              <w:end w:w="120" w:type="dxa"/>
            </w:tcMar>
            <w:vAlign w:val="center"/>
          </w:tcPr>
          <w:p>
            <w:pPr>
              <w:spacing w:after="0"/>
            </w:pPr>
            <w:r>
              <w:rPr>
                <w:sz w:val="17"/>
              </w:rPr>
              <w:t>NoteEntity, NoteFileEntity y contratos Repository.</w:t>
            </w:r>
          </w:p>
        </w:tc>
        <w:tc>
          <w:tcPr>
            <w:tcW w:type="dxa" w:w="3969"/>
            <w:tcMar>
              <w:top w:w="100" w:type="dxa"/>
              <w:start w:w="120" w:type="dxa"/>
              <w:bottom w:w="100" w:type="dxa"/>
              <w:end w:w="120" w:type="dxa"/>
            </w:tcMar>
            <w:vAlign w:val="center"/>
          </w:tcPr>
          <w:p>
            <w:pPr>
              <w:spacing w:after="0"/>
            </w:pPr>
            <w:r>
              <w:rPr>
                <w:sz w:val="17"/>
              </w:rPr>
              <w:t>Models, requests y contratos API.</w:t>
            </w:r>
          </w:p>
        </w:tc>
      </w:tr>
      <w:tr>
        <w:tc>
          <w:tcPr>
            <w:tcW w:type="dxa" w:w="1701"/>
            <w:tcMar>
              <w:top w:w="100" w:type="dxa"/>
              <w:start w:w="120" w:type="dxa"/>
              <w:bottom w:w="100" w:type="dxa"/>
              <w:end w:w="120" w:type="dxa"/>
            </w:tcMar>
            <w:vAlign w:val="center"/>
            <w:shd w:fill="EAF2F8"/>
          </w:tcPr>
          <w:p>
            <w:pPr>
              <w:spacing w:after="0"/>
            </w:pPr>
            <w:r>
              <w:rPr>
                <w:sz w:val="17"/>
              </w:rPr>
              <w:t>Infraestructura</w:t>
            </w:r>
          </w:p>
        </w:tc>
        <w:tc>
          <w:tcPr>
            <w:tcW w:type="dxa" w:w="3969"/>
            <w:tcMar>
              <w:top w:w="100" w:type="dxa"/>
              <w:start w:w="120" w:type="dxa"/>
              <w:bottom w:w="100" w:type="dxa"/>
              <w:end w:w="120" w:type="dxa"/>
            </w:tcMar>
            <w:vAlign w:val="center"/>
            <w:shd w:fill="EAF2F8"/>
          </w:tcPr>
          <w:p>
            <w:pPr>
              <w:spacing w:after="0"/>
            </w:pPr>
            <w:r>
              <w:rPr>
                <w:sz w:val="17"/>
              </w:rPr>
              <w:t>Repositorios Prisma y almacenamiento Tigris.</w:t>
            </w:r>
          </w:p>
        </w:tc>
        <w:tc>
          <w:tcPr>
            <w:tcW w:type="dxa" w:w="3969"/>
            <w:tcMar>
              <w:top w:w="100" w:type="dxa"/>
              <w:start w:w="120" w:type="dxa"/>
              <w:bottom w:w="100" w:type="dxa"/>
              <w:end w:w="120" w:type="dxa"/>
            </w:tcMar>
            <w:vAlign w:val="center"/>
            <w:shd w:fill="EAF2F8"/>
          </w:tcPr>
          <w:p>
            <w:pPr>
              <w:spacing w:after="0"/>
            </w:pPr>
            <w:r>
              <w:rPr>
                <w:sz w:val="17"/>
              </w:rPr>
              <w:t>NoteApi, configuración de endpoints y NoteStore.</w:t>
            </w:r>
          </w:p>
        </w:tc>
      </w:tr>
    </w:tbl>
    <w:p>
      <w:pPr>
        <w:spacing w:after="40"/>
      </w:pPr>
    </w:p>
    <w:p>
      <w:pPr>
        <w:pStyle w:val="Heading2"/>
      </w:pPr>
      <w:r>
        <w:t>Flujo de una operación de Notas</w:t>
      </w:r>
    </w:p>
    <w:tbl>
      <w:tblPr>
        <w:tblStyle w:val="TableGrid"/>
        <w:tblW w:type="auto" w:w="0"/>
        <w:jc w:val="center"/>
        <w:tblLook w:firstColumn="1" w:firstRow="1" w:lastColumn="0" w:lastRow="0" w:noHBand="0" w:noVBand="1" w:val="04A0"/>
      </w:tblPr>
      <w:tblGrid>
        <w:gridCol w:w="4816"/>
        <w:gridCol w:w="4816"/>
      </w:tblGrid>
      <w:tr>
        <w:trPr>
          <w:tblHeader w:val="true"/>
        </w:trPr>
        <w:tc>
          <w:tcPr>
            <w:tcW w:type="dxa" w:w="850"/>
            <w:shd w:fill="1F4E78"/>
            <w:tcMar>
              <w:top w:w="100" w:type="dxa"/>
              <w:start w:w="120" w:type="dxa"/>
              <w:bottom w:w="100" w:type="dxa"/>
              <w:end w:w="120" w:type="dxa"/>
            </w:tcMar>
            <w:vAlign w:val="center"/>
          </w:tcPr>
          <w:p>
            <w:pPr>
              <w:jc w:val="center"/>
            </w:pPr>
            <w:r>
              <w:rPr>
                <w:b/>
                <w:color w:val="FFFFFF"/>
                <w:sz w:val="18"/>
              </w:rPr>
              <w:t>Paso</w:t>
            </w:r>
          </w:p>
        </w:tc>
        <w:tc>
          <w:tcPr>
            <w:tcW w:type="dxa" w:w="8901"/>
            <w:shd w:fill="1F4E78"/>
            <w:tcMar>
              <w:top w:w="100" w:type="dxa"/>
              <w:start w:w="120" w:type="dxa"/>
              <w:bottom w:w="100" w:type="dxa"/>
              <w:end w:w="120" w:type="dxa"/>
            </w:tcMar>
            <w:vAlign w:val="center"/>
          </w:tcPr>
          <w:p>
            <w:pPr>
              <w:jc w:val="center"/>
            </w:pPr>
            <w:r>
              <w:rPr>
                <w:b/>
                <w:color w:val="FFFFFF"/>
                <w:sz w:val="18"/>
              </w:rPr>
              <w:t>Descripción</w:t>
            </w:r>
          </w:p>
        </w:tc>
      </w:tr>
      <w:tr>
        <w:tc>
          <w:tcPr>
            <w:tcW w:type="dxa" w:w="850"/>
            <w:tcMar>
              <w:top w:w="100" w:type="dxa"/>
              <w:start w:w="120" w:type="dxa"/>
              <w:bottom w:w="100" w:type="dxa"/>
              <w:end w:w="120" w:type="dxa"/>
            </w:tcMar>
            <w:vAlign w:val="center"/>
          </w:tcPr>
          <w:p>
            <w:pPr>
              <w:spacing w:after="0"/>
            </w:pPr>
            <w:r>
              <w:rPr>
                <w:sz w:val="17"/>
              </w:rPr>
              <w:t>1</w:t>
            </w:r>
          </w:p>
        </w:tc>
        <w:tc>
          <w:tcPr>
            <w:tcW w:type="dxa" w:w="8901"/>
            <w:tcMar>
              <w:top w:w="100" w:type="dxa"/>
              <w:start w:w="120" w:type="dxa"/>
              <w:bottom w:w="100" w:type="dxa"/>
              <w:end w:w="120" w:type="dxa"/>
            </w:tcMar>
            <w:vAlign w:val="center"/>
          </w:tcPr>
          <w:p>
            <w:pPr>
              <w:spacing w:after="0"/>
            </w:pPr>
            <w:r>
              <w:rPr>
                <w:sz w:val="17"/>
              </w:rPr>
              <w:t>La pantalla captura y valida los datos ingresados por el usuario.</w:t>
            </w:r>
          </w:p>
        </w:tc>
      </w:tr>
      <w:tr>
        <w:tc>
          <w:tcPr>
            <w:tcW w:type="dxa" w:w="850"/>
            <w:tcMar>
              <w:top w:w="100" w:type="dxa"/>
              <w:start w:w="120" w:type="dxa"/>
              <w:bottom w:w="100" w:type="dxa"/>
              <w:end w:w="120" w:type="dxa"/>
            </w:tcMar>
            <w:vAlign w:val="center"/>
            <w:shd w:fill="EAF2F8"/>
          </w:tcPr>
          <w:p>
            <w:pPr>
              <w:spacing w:after="0"/>
            </w:pPr>
            <w:r>
              <w:rPr>
                <w:sz w:val="17"/>
              </w:rPr>
              <w:t>2</w:t>
            </w:r>
          </w:p>
        </w:tc>
        <w:tc>
          <w:tcPr>
            <w:tcW w:type="dxa" w:w="8901"/>
            <w:tcMar>
              <w:top w:w="100" w:type="dxa"/>
              <w:start w:w="120" w:type="dxa"/>
              <w:bottom w:w="100" w:type="dxa"/>
              <w:end w:w="120" w:type="dxa"/>
            </w:tcMar>
            <w:vAlign w:val="center"/>
            <w:shd w:fill="EAF2F8"/>
          </w:tcPr>
          <w:p>
            <w:pPr>
              <w:spacing w:after="0"/>
            </w:pPr>
            <w:r>
              <w:rPr>
                <w:sz w:val="17"/>
              </w:rPr>
              <w:t>NoteFacade coordina el estado de carga y delega la operación a NoteApi.</w:t>
            </w:r>
          </w:p>
        </w:tc>
      </w:tr>
      <w:tr>
        <w:tc>
          <w:tcPr>
            <w:tcW w:type="dxa" w:w="850"/>
            <w:tcMar>
              <w:top w:w="100" w:type="dxa"/>
              <w:start w:w="120" w:type="dxa"/>
              <w:bottom w:w="100" w:type="dxa"/>
              <w:end w:w="120" w:type="dxa"/>
            </w:tcMar>
            <w:vAlign w:val="center"/>
          </w:tcPr>
          <w:p>
            <w:pPr>
              <w:spacing w:after="0"/>
            </w:pPr>
            <w:r>
              <w:rPr>
                <w:sz w:val="17"/>
              </w:rPr>
              <w:t>3</w:t>
            </w:r>
          </w:p>
        </w:tc>
        <w:tc>
          <w:tcPr>
            <w:tcW w:type="dxa" w:w="8901"/>
            <w:tcMar>
              <w:top w:w="100" w:type="dxa"/>
              <w:start w:w="120" w:type="dxa"/>
              <w:bottom w:w="100" w:type="dxa"/>
              <w:end w:w="120" w:type="dxa"/>
            </w:tcMar>
            <w:vAlign w:val="center"/>
          </w:tcPr>
          <w:p>
            <w:pPr>
              <w:spacing w:after="0"/>
            </w:pPr>
            <w:r>
              <w:rPr>
                <w:sz w:val="17"/>
              </w:rPr>
              <w:t>NoteApi construye la solicitud multipart y la envía al endpoint de NestJS.</w:t>
            </w:r>
          </w:p>
        </w:tc>
      </w:tr>
      <w:tr>
        <w:tc>
          <w:tcPr>
            <w:tcW w:type="dxa" w:w="850"/>
            <w:tcMar>
              <w:top w:w="100" w:type="dxa"/>
              <w:start w:w="120" w:type="dxa"/>
              <w:bottom w:w="100" w:type="dxa"/>
              <w:end w:w="120" w:type="dxa"/>
            </w:tcMar>
            <w:vAlign w:val="center"/>
            <w:shd w:fill="EAF2F8"/>
          </w:tcPr>
          <w:p>
            <w:pPr>
              <w:spacing w:after="0"/>
            </w:pPr>
            <w:r>
              <w:rPr>
                <w:sz w:val="17"/>
              </w:rPr>
              <w:t>4</w:t>
            </w:r>
          </w:p>
        </w:tc>
        <w:tc>
          <w:tcPr>
            <w:tcW w:type="dxa" w:w="8901"/>
            <w:tcMar>
              <w:top w:w="100" w:type="dxa"/>
              <w:start w:w="120" w:type="dxa"/>
              <w:bottom w:w="100" w:type="dxa"/>
              <w:end w:w="120" w:type="dxa"/>
            </w:tcMar>
            <w:vAlign w:val="center"/>
            <w:shd w:fill="EAF2F8"/>
          </w:tcPr>
          <w:p>
            <w:pPr>
              <w:spacing w:after="0"/>
            </w:pPr>
            <w:r>
              <w:rPr>
                <w:sz w:val="17"/>
              </w:rPr>
              <w:t>NotesController crea un Command o Query y lo entrega al bus correspondiente.</w:t>
            </w:r>
          </w:p>
        </w:tc>
      </w:tr>
      <w:tr>
        <w:tc>
          <w:tcPr>
            <w:tcW w:type="dxa" w:w="850"/>
            <w:tcMar>
              <w:top w:w="100" w:type="dxa"/>
              <w:start w:w="120" w:type="dxa"/>
              <w:bottom w:w="100" w:type="dxa"/>
              <w:end w:w="120" w:type="dxa"/>
            </w:tcMar>
            <w:vAlign w:val="center"/>
          </w:tcPr>
          <w:p>
            <w:pPr>
              <w:spacing w:after="0"/>
            </w:pPr>
            <w:r>
              <w:rPr>
                <w:sz w:val="17"/>
              </w:rPr>
              <w:t>5</w:t>
            </w:r>
          </w:p>
        </w:tc>
        <w:tc>
          <w:tcPr>
            <w:tcW w:type="dxa" w:w="8901"/>
            <w:tcMar>
              <w:top w:w="100" w:type="dxa"/>
              <w:start w:w="120" w:type="dxa"/>
              <w:bottom w:w="100" w:type="dxa"/>
              <w:end w:w="120" w:type="dxa"/>
            </w:tcMar>
            <w:vAlign w:val="center"/>
          </w:tcPr>
          <w:p>
            <w:pPr>
              <w:spacing w:after="0"/>
            </w:pPr>
            <w:r>
              <w:rPr>
                <w:sz w:val="17"/>
              </w:rPr>
              <w:t>El Handler valida permisos y reglas de negocio mediante contratos de repositorio.</w:t>
            </w:r>
          </w:p>
        </w:tc>
      </w:tr>
      <w:tr>
        <w:tc>
          <w:tcPr>
            <w:tcW w:type="dxa" w:w="850"/>
            <w:tcMar>
              <w:top w:w="100" w:type="dxa"/>
              <w:start w:w="120" w:type="dxa"/>
              <w:bottom w:w="100" w:type="dxa"/>
              <w:end w:w="120" w:type="dxa"/>
            </w:tcMar>
            <w:vAlign w:val="center"/>
            <w:shd w:fill="EAF2F8"/>
          </w:tcPr>
          <w:p>
            <w:pPr>
              <w:spacing w:after="0"/>
            </w:pPr>
            <w:r>
              <w:rPr>
                <w:sz w:val="17"/>
              </w:rPr>
              <w:t>6</w:t>
            </w:r>
          </w:p>
        </w:tc>
        <w:tc>
          <w:tcPr>
            <w:tcW w:type="dxa" w:w="8901"/>
            <w:tcMar>
              <w:top w:w="100" w:type="dxa"/>
              <w:start w:w="120" w:type="dxa"/>
              <w:bottom w:w="100" w:type="dxa"/>
              <w:end w:w="120" w:type="dxa"/>
            </w:tcMar>
            <w:vAlign w:val="center"/>
            <w:shd w:fill="EAF2F8"/>
          </w:tcPr>
          <w:p>
            <w:pPr>
              <w:spacing w:after="0"/>
            </w:pPr>
            <w:r>
              <w:rPr>
                <w:sz w:val="17"/>
              </w:rPr>
              <w:t>PrismaNoteRepository persiste o consulta los datos y un Mapper prepara la respuesta.</w:t>
            </w:r>
          </w:p>
        </w:tc>
      </w:tr>
      <w:tr>
        <w:tc>
          <w:tcPr>
            <w:tcW w:type="dxa" w:w="850"/>
            <w:tcMar>
              <w:top w:w="100" w:type="dxa"/>
              <w:start w:w="120" w:type="dxa"/>
              <w:bottom w:w="100" w:type="dxa"/>
              <w:end w:w="120" w:type="dxa"/>
            </w:tcMar>
            <w:vAlign w:val="center"/>
          </w:tcPr>
          <w:p>
            <w:pPr>
              <w:spacing w:after="0"/>
            </w:pPr>
            <w:r>
              <w:rPr>
                <w:sz w:val="17"/>
              </w:rPr>
              <w:t>7</w:t>
            </w:r>
          </w:p>
        </w:tc>
        <w:tc>
          <w:tcPr>
            <w:tcW w:type="dxa" w:w="8901"/>
            <w:tcMar>
              <w:top w:w="100" w:type="dxa"/>
              <w:start w:w="120" w:type="dxa"/>
              <w:bottom w:w="100" w:type="dxa"/>
              <w:end w:w="120" w:type="dxa"/>
            </w:tcMar>
            <w:vAlign w:val="center"/>
          </w:tcPr>
          <w:p>
            <w:pPr>
              <w:spacing w:after="0"/>
            </w:pPr>
            <w:r>
              <w:rPr>
                <w:sz w:val="17"/>
              </w:rPr>
              <w:t>La respuesta actualiza NoteStore y la interfaz muestra el resultado o el error.</w:t>
            </w:r>
          </w:p>
        </w:tc>
      </w:tr>
    </w:tbl>
    <w:p>
      <w:pPr>
        <w:spacing w:after="40"/>
      </w:pPr>
    </w:p>
    <w:p>
      <w:pPr>
        <w:pStyle w:val="Heading1"/>
      </w:pPr>
      <w:r>
        <w:t>Aplicación de los principios SOLID</w:t>
      </w:r>
    </w:p>
    <w:p>
      <w:r>
        <w:t>A continuación explico los principios SOLID que apliqué, dónde se observan y por qué ayudan al módulo. Las rutas aparecen antes de cada evidencia para que el código pueda localizarse rápidamente.</w:t>
      </w:r>
    </w:p>
    <w:p>
      <w:pPr>
        <w:pStyle w:val="Heading2"/>
      </w:pPr>
      <w:r>
        <w:t>S  Responsabilidad única</w:t>
      </w:r>
    </w:p>
    <w:p>
      <w:pPr>
        <w:spacing w:after="80"/>
      </w:pPr>
      <w:r>
        <w:rPr>
          <w:b/>
        </w:rPr>
        <w:t xml:space="preserve">Ruta: </w:t>
      </w:r>
      <w:r>
        <w:rPr>
          <w:rFonts w:ascii="Consolas" w:hAnsi="Consolas"/>
          <w:sz w:val="18"/>
        </w:rPr>
        <w:t>prx-backend/src/modules/notes/application/commands/delete-note/delete-note.handler.ts</w:t>
      </w:r>
    </w:p>
    <w:p>
      <w:r>
        <w:t>Apliqué responsabilidad única al separar cada caso de uso en su propio Handler. DeleteNoteHandler se ocupa de eliminar una nota: obtiene la entidad, valida permisos, ejecuta el borrado lógico y actualiza la fecha del repositorio. No conoce detalles de SQL ni construye respuestas de interfaz.</w:t>
      </w:r>
    </w:p>
    <w:p>
      <w:pPr>
        <w:keepLines/>
        <w:spacing w:before="80" w:after="160"/>
        <w:ind w:left="255" w:right="142"/>
        <w:shd w:fill="F2F2F2"/>
      </w:pPr>
      <w:r>
        <w:rPr>
          <w:rFonts w:ascii="Consolas" w:hAnsi="Consolas"/>
          <w:sz w:val="16"/>
        </w:rPr>
        <w:t>@CommandHandler(DeleteNoteCommand)</w:t>
        <w:br/>
        <w:t>export class DeleteNoteHandler implements ICommandHandler&lt;DeleteNoteCommand&gt; {</w:t>
        <w:br/>
        <w:t xml:space="preserve">  async execute(command: DeleteNoteCommand) {</w:t>
        <w:br/>
        <w:t xml:space="preserve">    const note = await this.noteRepository.findById(command.id);</w:t>
        <w:br/>
        <w:t xml:space="preserve">    // validación de existencia y permisos</w:t>
        <w:br/>
        <w:t xml:space="preserve">    await this.noteRepository.softDelete(command.id, command.userId);</w:t>
        <w:br/>
        <w:t xml:space="preserve">    await this.repositoryRepository.markAsUpdated(note.repositoryId);</w:t>
        <w:br/>
        <w:t xml:space="preserve">  }</w:t>
        <w:br/>
        <w:t>}</w:t>
      </w:r>
    </w:p>
    <w:p>
      <w:pPr>
        <w:spacing w:after="80"/>
      </w:pPr>
      <w:r>
        <w:rPr>
          <w:b/>
        </w:rPr>
        <w:t xml:space="preserve">Ruta complementaria: </w:t>
      </w:r>
      <w:r>
        <w:rPr>
          <w:rFonts w:ascii="Consolas" w:hAnsi="Consolas"/>
          <w:sz w:val="18"/>
        </w:rPr>
        <w:t>prx-frontend/src/app/features/notes/infrastructure/store/note.store.ts</w:t>
      </w:r>
    </w:p>
    <w:p>
      <w:r>
        <w:t>En el frontend, NoteStore tiene una sola responsabilidad: mantener el estado reactivo de notas, nota seleccionada, carga, acción y error. La comunicación HTTP queda en NoteApi y la coordinación queda en NoteFacade.</w:t>
      </w:r>
    </w:p>
    <w:p>
      <w:pPr>
        <w:pStyle w:val="Heading2"/>
      </w:pPr>
      <w:r>
        <w:t>O  Abierto y cerrado</w:t>
      </w:r>
    </w:p>
    <w:p>
      <w:pPr>
        <w:spacing w:after="80"/>
      </w:pPr>
      <w:r>
        <w:rPr>
          <w:b/>
        </w:rPr>
        <w:t xml:space="preserve">Ruta: </w:t>
      </w:r>
      <w:r>
        <w:rPr>
          <w:rFonts w:ascii="Consolas" w:hAnsi="Consolas"/>
          <w:sz w:val="18"/>
        </w:rPr>
        <w:t>prx-backend/src/modules/notes/notes.module.ts</w:t>
      </w:r>
    </w:p>
    <w:p>
      <w:r>
        <w:t>La estructura CQRS permite ampliar el módulo agregando un nuevo Command, Query y Handler sin modificar los casos de uso ya existentes. Por ejemplo, la descarga de archivos se incorporó mediante GetNoteFileDownloadUrlHandler y su Query, manteniendo intactos CreateNoteHandler y DeleteNoteHandler. El módulo solo registra el nuevo proveedor.</w:t>
      </w:r>
    </w:p>
    <w:p>
      <w:pPr>
        <w:keepLines/>
        <w:spacing w:before="80" w:after="160"/>
        <w:ind w:left="255" w:right="142"/>
        <w:shd w:fill="F2F2F2"/>
      </w:pPr>
      <w:r>
        <w:rPr>
          <w:rFonts w:ascii="Consolas" w:hAnsi="Consolas"/>
          <w:sz w:val="16"/>
        </w:rPr>
        <w:t>providers: [</w:t>
        <w:br/>
        <w:t xml:space="preserve">  CreateNoteHandler,</w:t>
        <w:br/>
        <w:t xml:space="preserve">  DeleteNoteHandler,</w:t>
        <w:br/>
        <w:t xml:space="preserve">  UpdateNoteHandler,</w:t>
        <w:br/>
        <w:t xml:space="preserve">  GetNotesHandler,</w:t>
        <w:br/>
        <w:t xml:space="preserve">  GetNoteByIdHandler,</w:t>
        <w:br/>
        <w:t xml:space="preserve">  GetNoteFileDownloadUrlHandler,</w:t>
        <w:br/>
        <w:t>]</w:t>
      </w:r>
    </w:p>
    <w:p>
      <w:pPr>
        <w:pStyle w:val="Heading2"/>
      </w:pPr>
      <w:r>
        <w:t>L  Sustitución de Liskov</w:t>
      </w:r>
    </w:p>
    <w:p>
      <w:pPr>
        <w:spacing w:after="80"/>
      </w:pPr>
      <w:r>
        <w:rPr>
          <w:b/>
        </w:rPr>
        <w:t xml:space="preserve">Ruta: </w:t>
      </w:r>
      <w:r>
        <w:rPr>
          <w:rFonts w:ascii="Consolas" w:hAnsi="Consolas"/>
          <w:sz w:val="18"/>
        </w:rPr>
        <w:t>prx-backend/src/modules/notes/infrastructure/persistence/prisma-note.repository.ts</w:t>
      </w:r>
    </w:p>
    <w:p>
      <w:r>
        <w:t>PrismaNoteRepository implementa el contrato NoteRepository y puede utilizarse donde el sistema espera dicho contrato. Los Handlers dependen de las operaciones prometidas por NoteRepository, no de métodos exclusivos de Prisma. Por eso una implementación alternativa, por ejemplo en memoria para pruebas, puede sustituir a Prisma siempre que respete los mismos resultados y reglas del contrato.</w:t>
      </w:r>
    </w:p>
    <w:p>
      <w:pPr>
        <w:keepLines/>
        <w:spacing w:before="80" w:after="160"/>
        <w:ind w:left="255" w:right="142"/>
        <w:shd w:fill="F2F2F2"/>
      </w:pPr>
      <w:r>
        <w:rPr>
          <w:rFonts w:ascii="Consolas" w:hAnsi="Consolas"/>
          <w:sz w:val="16"/>
        </w:rPr>
        <w:t>export class PrismaNoteRepository</w:t>
        <w:br/>
        <w:t xml:space="preserve">  extends BasePrismaRepository</w:t>
        <w:br/>
        <w:t xml:space="preserve">  implements NoteRepository {</w:t>
        <w:br/>
        <w:t xml:space="preserve">  async findById(id: number): Promise&lt;NoteEntity | null&gt; { /* ... */ }</w:t>
        <w:br/>
        <w:t xml:space="preserve">  async create(entity: NoteEntity): Promise&lt;NoteEntity&gt; { /* ... */ }</w:t>
        <w:br/>
        <w:t xml:space="preserve">  async softDelete(id: number, updatedBy: number): Promise&lt;void&gt; { /* ... */ }</w:t>
        <w:br/>
        <w:t>}</w:t>
      </w:r>
    </w:p>
    <w:p>
      <w:pPr>
        <w:pStyle w:val="Heading2"/>
      </w:pPr>
      <w:r>
        <w:t>I  Segregación de interfaces</w:t>
      </w:r>
    </w:p>
    <w:p>
      <w:pPr>
        <w:spacing w:after="80"/>
      </w:pPr>
      <w:r>
        <w:rPr>
          <w:b/>
        </w:rPr>
        <w:t xml:space="preserve">Rutas: </w:t>
      </w:r>
      <w:r>
        <w:rPr>
          <w:rFonts w:ascii="Consolas" w:hAnsi="Consolas"/>
          <w:sz w:val="18"/>
        </w:rPr>
        <w:t>prx-backend/src/modules/notes/domain/repositories/note.repository.ts  y  note-file.repository.ts</w:t>
      </w:r>
    </w:p>
    <w:p>
      <w:r>
        <w:t>Separé el contrato de notas del contrato de archivos de nota. Así, un caso de uso que solo consulta o elimina una nota no está obligado a depender de operaciones específicas de archivos. UpdateNoteHandler usa ambos contratos porque su responsabilidad sí necesita coordinar la nota y sus adjuntos.</w:t>
      </w:r>
    </w:p>
    <w:p>
      <w:pPr>
        <w:keepLines/>
        <w:spacing w:before="80" w:after="160"/>
        <w:ind w:left="255" w:right="142"/>
        <w:shd w:fill="F2F2F2"/>
      </w:pPr>
      <w:r>
        <w:rPr>
          <w:rFonts w:ascii="Consolas" w:hAnsi="Consolas"/>
          <w:sz w:val="16"/>
        </w:rPr>
        <w:t>constructor(</w:t>
        <w:br/>
        <w:t xml:space="preserve">  @Inject(NoteRepository) private readonly noteRepository: NoteRepository,</w:t>
        <w:br/>
        <w:t xml:space="preserve">  @Inject(NoteFileRepository) private readonly noteFileRepository: NoteFileRepository,</w:t>
        <w:br/>
        <w:t>) {}</w:t>
      </w:r>
    </w:p>
    <w:p>
      <w:pPr>
        <w:pStyle w:val="Heading2"/>
      </w:pPr>
      <w:r>
        <w:t>D  Inversión de dependencias</w:t>
      </w:r>
    </w:p>
    <w:p>
      <w:pPr>
        <w:spacing w:after="80"/>
      </w:pPr>
      <w:r>
        <w:rPr>
          <w:b/>
        </w:rPr>
        <w:t xml:space="preserve">Rutas: </w:t>
      </w:r>
      <w:r>
        <w:rPr>
          <w:rFonts w:ascii="Consolas" w:hAnsi="Consolas"/>
          <w:sz w:val="18"/>
        </w:rPr>
        <w:t>prx-backend/src/modules/notes/domain/repositories/note.repository.ts  y  prx-backend/src/modules/notes/notes.module.ts</w:t>
      </w:r>
    </w:p>
    <w:p>
      <w:r>
        <w:t>Los casos de uso dependen de la abstracción NoteRepository. NotesModule decide que la implementación concreta será PrismaNoteRepository. De esta forma, la lógica de alto nivel no crea ni importa directamente el cliente Prisma.</w:t>
      </w:r>
    </w:p>
    <w:p>
      <w:pPr>
        <w:keepLines/>
        <w:spacing w:before="80" w:after="160"/>
        <w:ind w:left="255" w:right="142"/>
        <w:shd w:fill="F2F2F2"/>
      </w:pPr>
      <w:r>
        <w:rPr>
          <w:rFonts w:ascii="Consolas" w:hAnsi="Consolas"/>
          <w:sz w:val="16"/>
        </w:rPr>
        <w:t>{</w:t>
        <w:br/>
        <w:t xml:space="preserve">  provide: NoteRepository,</w:t>
        <w:br/>
        <w:t xml:space="preserve">  useClass: PrismaNoteRepository,</w:t>
        <w:br/>
        <w:t>}</w:t>
        <w:br/>
        <w:br/>
        <w:t>@Inject(NoteRepository)</w:t>
        <w:br/>
        <w:t>private readonly noteRepository: NoteRepository</w:t>
      </w:r>
    </w:p>
    <w:p>
      <w:pPr>
        <w:pStyle w:val="Heading2"/>
      </w:pPr>
      <w:r>
        <w:t>Matriz de evidencia SOLID</w:t>
      </w:r>
    </w:p>
    <w:tbl>
      <w:tblPr>
        <w:tblStyle w:val="TableGrid"/>
        <w:tblW w:type="auto" w:w="0"/>
        <w:jc w:val="center"/>
        <w:tblLook w:firstColumn="1" w:firstRow="1" w:lastColumn="0" w:lastRow="0" w:noHBand="0" w:noVBand="1" w:val="04A0"/>
      </w:tblPr>
      <w:tblGrid>
        <w:gridCol w:w="3211"/>
        <w:gridCol w:w="3211"/>
        <w:gridCol w:w="3211"/>
      </w:tblGrid>
      <w:tr>
        <w:trPr>
          <w:tblHeader w:val="true"/>
        </w:trPr>
        <w:tc>
          <w:tcPr>
            <w:tcW w:type="dxa" w:w="1247"/>
            <w:shd w:fill="1F4E78"/>
            <w:tcMar>
              <w:top w:w="100" w:type="dxa"/>
              <w:start w:w="120" w:type="dxa"/>
              <w:bottom w:w="100" w:type="dxa"/>
              <w:end w:w="120" w:type="dxa"/>
            </w:tcMar>
            <w:vAlign w:val="center"/>
          </w:tcPr>
          <w:p>
            <w:pPr>
              <w:jc w:val="center"/>
            </w:pPr>
            <w:r>
              <w:rPr>
                <w:b/>
                <w:color w:val="FFFFFF"/>
                <w:sz w:val="18"/>
              </w:rPr>
              <w:t>Principio</w:t>
            </w:r>
          </w:p>
        </w:tc>
        <w:tc>
          <w:tcPr>
            <w:tcW w:type="dxa" w:w="4535"/>
            <w:shd w:fill="1F4E78"/>
            <w:tcMar>
              <w:top w:w="100" w:type="dxa"/>
              <w:start w:w="120" w:type="dxa"/>
              <w:bottom w:w="100" w:type="dxa"/>
              <w:end w:w="120" w:type="dxa"/>
            </w:tcMar>
            <w:vAlign w:val="center"/>
          </w:tcPr>
          <w:p>
            <w:pPr>
              <w:jc w:val="center"/>
            </w:pPr>
            <w:r>
              <w:rPr>
                <w:b/>
                <w:color w:val="FFFFFF"/>
                <w:sz w:val="18"/>
              </w:rPr>
              <w:t>Dónde lo apliqué</w:t>
            </w:r>
          </w:p>
        </w:tc>
        <w:tc>
          <w:tcPr>
            <w:tcW w:type="dxa" w:w="3969"/>
            <w:shd w:fill="1F4E78"/>
            <w:tcMar>
              <w:top w:w="100" w:type="dxa"/>
              <w:start w:w="120" w:type="dxa"/>
              <w:bottom w:w="100" w:type="dxa"/>
              <w:end w:w="120" w:type="dxa"/>
            </w:tcMar>
            <w:vAlign w:val="center"/>
          </w:tcPr>
          <w:p>
            <w:pPr>
              <w:jc w:val="center"/>
            </w:pPr>
            <w:r>
              <w:rPr>
                <w:b/>
                <w:color w:val="FFFFFF"/>
                <w:sz w:val="18"/>
              </w:rPr>
              <w:t>Beneficio</w:t>
            </w:r>
          </w:p>
        </w:tc>
      </w:tr>
      <w:tr>
        <w:tc>
          <w:tcPr>
            <w:tcW w:type="dxa" w:w="1247"/>
            <w:tcMar>
              <w:top w:w="100" w:type="dxa"/>
              <w:start w:w="120" w:type="dxa"/>
              <w:bottom w:w="100" w:type="dxa"/>
              <w:end w:w="120" w:type="dxa"/>
            </w:tcMar>
            <w:vAlign w:val="center"/>
          </w:tcPr>
          <w:p>
            <w:pPr>
              <w:spacing w:after="0"/>
            </w:pPr>
            <w:r>
              <w:rPr>
                <w:sz w:val="17"/>
              </w:rPr>
              <w:t>SRP</w:t>
            </w:r>
          </w:p>
        </w:tc>
        <w:tc>
          <w:tcPr>
            <w:tcW w:type="dxa" w:w="4535"/>
            <w:tcMar>
              <w:top w:w="100" w:type="dxa"/>
              <w:start w:w="120" w:type="dxa"/>
              <w:bottom w:w="100" w:type="dxa"/>
              <w:end w:w="120" w:type="dxa"/>
            </w:tcMar>
            <w:vAlign w:val="center"/>
          </w:tcPr>
          <w:p>
            <w:pPr>
              <w:spacing w:after="0"/>
            </w:pPr>
            <w:r>
              <w:rPr>
                <w:sz w:val="17"/>
              </w:rPr>
              <w:t>Handlers, Store, API, Mapper y Controller separados.</w:t>
            </w:r>
          </w:p>
        </w:tc>
        <w:tc>
          <w:tcPr>
            <w:tcW w:type="dxa" w:w="3969"/>
            <w:tcMar>
              <w:top w:w="100" w:type="dxa"/>
              <w:start w:w="120" w:type="dxa"/>
              <w:bottom w:w="100" w:type="dxa"/>
              <w:end w:w="120" w:type="dxa"/>
            </w:tcMar>
            <w:vAlign w:val="center"/>
          </w:tcPr>
          <w:p>
            <w:pPr>
              <w:spacing w:after="0"/>
            </w:pPr>
            <w:r>
              <w:rPr>
                <w:sz w:val="17"/>
              </w:rPr>
              <w:t>Cada clase cambia por una razón principal.</w:t>
            </w:r>
          </w:p>
        </w:tc>
      </w:tr>
      <w:tr>
        <w:tc>
          <w:tcPr>
            <w:tcW w:type="dxa" w:w="1247"/>
            <w:tcMar>
              <w:top w:w="100" w:type="dxa"/>
              <w:start w:w="120" w:type="dxa"/>
              <w:bottom w:w="100" w:type="dxa"/>
              <w:end w:w="120" w:type="dxa"/>
            </w:tcMar>
            <w:vAlign w:val="center"/>
            <w:shd w:fill="EAF2F8"/>
          </w:tcPr>
          <w:p>
            <w:pPr>
              <w:spacing w:after="0"/>
            </w:pPr>
            <w:r>
              <w:rPr>
                <w:sz w:val="17"/>
              </w:rPr>
              <w:t>OCP</w:t>
            </w:r>
          </w:p>
        </w:tc>
        <w:tc>
          <w:tcPr>
            <w:tcW w:type="dxa" w:w="4535"/>
            <w:tcMar>
              <w:top w:w="100" w:type="dxa"/>
              <w:start w:w="120" w:type="dxa"/>
              <w:bottom w:w="100" w:type="dxa"/>
              <w:end w:w="120" w:type="dxa"/>
            </w:tcMar>
            <w:vAlign w:val="center"/>
            <w:shd w:fill="EAF2F8"/>
          </w:tcPr>
          <w:p>
            <w:pPr>
              <w:spacing w:after="0"/>
            </w:pPr>
            <w:r>
              <w:rPr>
                <w:sz w:val="17"/>
              </w:rPr>
              <w:t>Commands, Queries y Handlers registrables.</w:t>
            </w:r>
          </w:p>
        </w:tc>
        <w:tc>
          <w:tcPr>
            <w:tcW w:type="dxa" w:w="3969"/>
            <w:tcMar>
              <w:top w:w="100" w:type="dxa"/>
              <w:start w:w="120" w:type="dxa"/>
              <w:bottom w:w="100" w:type="dxa"/>
              <w:end w:w="120" w:type="dxa"/>
            </w:tcMar>
            <w:vAlign w:val="center"/>
            <w:shd w:fill="EAF2F8"/>
          </w:tcPr>
          <w:p>
            <w:pPr>
              <w:spacing w:after="0"/>
            </w:pPr>
            <w:r>
              <w:rPr>
                <w:sz w:val="17"/>
              </w:rPr>
              <w:t>Puedo agregar casos de uso con cambios localizados.</w:t>
            </w:r>
          </w:p>
        </w:tc>
      </w:tr>
      <w:tr>
        <w:tc>
          <w:tcPr>
            <w:tcW w:type="dxa" w:w="1247"/>
            <w:tcMar>
              <w:top w:w="100" w:type="dxa"/>
              <w:start w:w="120" w:type="dxa"/>
              <w:bottom w:w="100" w:type="dxa"/>
              <w:end w:w="120" w:type="dxa"/>
            </w:tcMar>
            <w:vAlign w:val="center"/>
          </w:tcPr>
          <w:p>
            <w:pPr>
              <w:spacing w:after="0"/>
            </w:pPr>
            <w:r>
              <w:rPr>
                <w:sz w:val="17"/>
              </w:rPr>
              <w:t>LSP</w:t>
            </w:r>
          </w:p>
        </w:tc>
        <w:tc>
          <w:tcPr>
            <w:tcW w:type="dxa" w:w="4535"/>
            <w:tcMar>
              <w:top w:w="100" w:type="dxa"/>
              <w:start w:w="120" w:type="dxa"/>
              <w:bottom w:w="100" w:type="dxa"/>
              <w:end w:w="120" w:type="dxa"/>
            </w:tcMar>
            <w:vAlign w:val="center"/>
          </w:tcPr>
          <w:p>
            <w:pPr>
              <w:spacing w:after="0"/>
            </w:pPr>
            <w:r>
              <w:rPr>
                <w:sz w:val="17"/>
              </w:rPr>
              <w:t>PrismaNoteRepository cumple NoteRepository.</w:t>
            </w:r>
          </w:p>
        </w:tc>
        <w:tc>
          <w:tcPr>
            <w:tcW w:type="dxa" w:w="3969"/>
            <w:tcMar>
              <w:top w:w="100" w:type="dxa"/>
              <w:start w:w="120" w:type="dxa"/>
              <w:bottom w:w="100" w:type="dxa"/>
              <w:end w:w="120" w:type="dxa"/>
            </w:tcMar>
            <w:vAlign w:val="center"/>
          </w:tcPr>
          <w:p>
            <w:pPr>
              <w:spacing w:after="0"/>
            </w:pPr>
            <w:r>
              <w:rPr>
                <w:sz w:val="17"/>
              </w:rPr>
              <w:t>La persistencia puede sustituirse por otra implementación compatible.</w:t>
            </w:r>
          </w:p>
        </w:tc>
      </w:tr>
      <w:tr>
        <w:tc>
          <w:tcPr>
            <w:tcW w:type="dxa" w:w="1247"/>
            <w:tcMar>
              <w:top w:w="100" w:type="dxa"/>
              <w:start w:w="120" w:type="dxa"/>
              <w:bottom w:w="100" w:type="dxa"/>
              <w:end w:w="120" w:type="dxa"/>
            </w:tcMar>
            <w:vAlign w:val="center"/>
            <w:shd w:fill="EAF2F8"/>
          </w:tcPr>
          <w:p>
            <w:pPr>
              <w:spacing w:after="0"/>
            </w:pPr>
            <w:r>
              <w:rPr>
                <w:sz w:val="17"/>
              </w:rPr>
              <w:t>ISP</w:t>
            </w:r>
          </w:p>
        </w:tc>
        <w:tc>
          <w:tcPr>
            <w:tcW w:type="dxa" w:w="4535"/>
            <w:tcMar>
              <w:top w:w="100" w:type="dxa"/>
              <w:start w:w="120" w:type="dxa"/>
              <w:bottom w:w="100" w:type="dxa"/>
              <w:end w:w="120" w:type="dxa"/>
            </w:tcMar>
            <w:vAlign w:val="center"/>
            <w:shd w:fill="EAF2F8"/>
          </w:tcPr>
          <w:p>
            <w:pPr>
              <w:spacing w:after="0"/>
            </w:pPr>
            <w:r>
              <w:rPr>
                <w:sz w:val="17"/>
              </w:rPr>
              <w:t>NoteRepository y NoteFileRepository separados.</w:t>
            </w:r>
          </w:p>
        </w:tc>
        <w:tc>
          <w:tcPr>
            <w:tcW w:type="dxa" w:w="3969"/>
            <w:tcMar>
              <w:top w:w="100" w:type="dxa"/>
              <w:start w:w="120" w:type="dxa"/>
              <w:bottom w:w="100" w:type="dxa"/>
              <w:end w:w="120" w:type="dxa"/>
            </w:tcMar>
            <w:vAlign w:val="center"/>
            <w:shd w:fill="EAF2F8"/>
          </w:tcPr>
          <w:p>
            <w:pPr>
              <w:spacing w:after="0"/>
            </w:pPr>
            <w:r>
              <w:rPr>
                <w:sz w:val="17"/>
              </w:rPr>
              <w:t>Cada caso de uso depende solo de contratos relacionados con su trabajo.</w:t>
            </w:r>
          </w:p>
        </w:tc>
      </w:tr>
      <w:tr>
        <w:tc>
          <w:tcPr>
            <w:tcW w:type="dxa" w:w="1247"/>
            <w:tcMar>
              <w:top w:w="100" w:type="dxa"/>
              <w:start w:w="120" w:type="dxa"/>
              <w:bottom w:w="100" w:type="dxa"/>
              <w:end w:w="120" w:type="dxa"/>
            </w:tcMar>
            <w:vAlign w:val="center"/>
          </w:tcPr>
          <w:p>
            <w:pPr>
              <w:spacing w:after="0"/>
            </w:pPr>
            <w:r>
              <w:rPr>
                <w:sz w:val="17"/>
              </w:rPr>
              <w:t>DIP</w:t>
            </w:r>
          </w:p>
        </w:tc>
        <w:tc>
          <w:tcPr>
            <w:tcW w:type="dxa" w:w="4535"/>
            <w:tcMar>
              <w:top w:w="100" w:type="dxa"/>
              <w:start w:w="120" w:type="dxa"/>
              <w:bottom w:w="100" w:type="dxa"/>
              <w:end w:w="120" w:type="dxa"/>
            </w:tcMar>
            <w:vAlign w:val="center"/>
          </w:tcPr>
          <w:p>
            <w:pPr>
              <w:spacing w:after="0"/>
            </w:pPr>
            <w:r>
              <w:rPr>
                <w:sz w:val="17"/>
              </w:rPr>
              <w:t>Inyección por token abstracto en NotesModule.</w:t>
            </w:r>
          </w:p>
        </w:tc>
        <w:tc>
          <w:tcPr>
            <w:tcW w:type="dxa" w:w="3969"/>
            <w:tcMar>
              <w:top w:w="100" w:type="dxa"/>
              <w:start w:w="120" w:type="dxa"/>
              <w:bottom w:w="100" w:type="dxa"/>
              <w:end w:w="120" w:type="dxa"/>
            </w:tcMar>
            <w:vAlign w:val="center"/>
          </w:tcPr>
          <w:p>
            <w:pPr>
              <w:spacing w:after="0"/>
            </w:pPr>
            <w:r>
              <w:rPr>
                <w:sz w:val="17"/>
              </w:rPr>
              <w:t>La aplicación no queda unida directamente a Prisma.</w:t>
            </w:r>
          </w:p>
        </w:tc>
      </w:tr>
    </w:tbl>
    <w:p>
      <w:pPr>
        <w:spacing w:after="40"/>
      </w:pPr>
    </w:p>
    <w:p>
      <w:pPr>
        <w:pStyle w:val="Heading1"/>
      </w:pPr>
      <w:r>
        <w:t>Patrones de diseño utilizados</w:t>
      </w:r>
    </w:p>
    <w:p>
      <w:r>
        <w:t>No utilicé los patrones solo por nombre. Cada patrón resuelve un problema concreto de organización, comunicación o mantenimiento. En cada apartado indico la ubicación exacta y el motivo de uso.</w:t>
      </w:r>
    </w:p>
    <w:p>
      <w:pPr>
        <w:pStyle w:val="Heading2"/>
      </w:pPr>
      <w:r>
        <w:t>Patrón CQRS</w:t>
      </w:r>
    </w:p>
    <w:p>
      <w:pPr>
        <w:spacing w:after="80"/>
      </w:pPr>
      <w:r>
        <w:rPr>
          <w:b/>
        </w:rPr>
        <w:t xml:space="preserve">Ruta: </w:t>
      </w:r>
      <w:r>
        <w:rPr>
          <w:rFonts w:ascii="Consolas" w:hAnsi="Consolas"/>
          <w:sz w:val="18"/>
        </w:rPr>
        <w:t>prx-backend/src/modules/notes/application/commands/  y  application/queries/</w:t>
      </w:r>
    </w:p>
    <w:p>
      <w:r>
        <w:t>Separé las operaciones que cambian estado, como crear, actualizar y eliminar, de las consultas que recuperan notas o enlaces de descarga. NotesController usa CommandBus para cambios y QueryBus para lecturas. Esto hace explícita la intención de cada operación y evita controladores con reglas de negocio acumuladas.</w:t>
      </w:r>
    </w:p>
    <w:p>
      <w:pPr>
        <w:keepLines/>
        <w:spacing w:before="80" w:after="160"/>
        <w:ind w:left="255" w:right="142"/>
        <w:shd w:fill="F2F2F2"/>
      </w:pPr>
      <w:r>
        <w:rPr>
          <w:rFonts w:ascii="Consolas" w:hAnsi="Consolas"/>
          <w:sz w:val="16"/>
        </w:rPr>
        <w:t>return this.commandBus.execute(</w:t>
        <w:br/>
        <w:t xml:space="preserve">  new CreateNoteCommand(repositoryId, dto, userId, files),</w:t>
        <w:br/>
        <w:t>);</w:t>
        <w:br/>
        <w:br/>
        <w:t>return this.queryBus.execute(</w:t>
        <w:br/>
        <w:t xml:space="preserve">  new GetNotesQuery(repositoryId, userId, query),</w:t>
        <w:br/>
        <w:t>);</w:t>
      </w:r>
    </w:p>
    <w:p>
      <w:pPr>
        <w:pStyle w:val="Heading2"/>
      </w:pPr>
      <w:r>
        <w:t>Patrón Repository</w:t>
      </w:r>
    </w:p>
    <w:p>
      <w:pPr>
        <w:spacing w:after="80"/>
      </w:pPr>
      <w:r>
        <w:rPr>
          <w:b/>
        </w:rPr>
        <w:t xml:space="preserve">Contrato: </w:t>
      </w:r>
      <w:r>
        <w:rPr>
          <w:rFonts w:ascii="Consolas" w:hAnsi="Consolas"/>
          <w:sz w:val="18"/>
        </w:rPr>
        <w:t>prx-backend/src/modules/notes/domain/repositories/note.repository.ts</w:t>
      </w:r>
    </w:p>
    <w:p>
      <w:pPr>
        <w:spacing w:after="80"/>
      </w:pPr>
      <w:r>
        <w:rPr>
          <w:b/>
        </w:rPr>
        <w:t xml:space="preserve">Implementación: </w:t>
      </w:r>
      <w:r>
        <w:rPr>
          <w:rFonts w:ascii="Consolas" w:hAnsi="Consolas"/>
          <w:sz w:val="18"/>
        </w:rPr>
        <w:t>prx-backend/src/modules/notes/infrastructure/persistence/prisma-note.repository.ts</w:t>
      </w:r>
    </w:p>
    <w:p>
      <w:r>
        <w:t>Encapsulé el acceso a datos detrás de NoteRepository. Los Handlers solicitan operaciones del dominio como findById, create, update o softDelete, mientras PrismaNoteRepository traduce esas operaciones a consultas Prisma. Esto protege la aplicación de los detalles de la base de datos.</w:t>
      </w:r>
    </w:p>
    <w:p>
      <w:pPr>
        <w:pStyle w:val="Heading2"/>
      </w:pPr>
      <w:r>
        <w:t>Patrón Facade</w:t>
      </w:r>
    </w:p>
    <w:p>
      <w:pPr>
        <w:spacing w:after="80"/>
      </w:pPr>
      <w:r>
        <w:rPr>
          <w:b/>
        </w:rPr>
        <w:t xml:space="preserve">Ruta: </w:t>
      </w:r>
      <w:r>
        <w:rPr>
          <w:rFonts w:ascii="Consolas" w:hAnsi="Consolas"/>
          <w:sz w:val="18"/>
        </w:rPr>
        <w:t>prx-frontend/src/app/features/notes/application/facades/note.facade.ts</w:t>
      </w:r>
    </w:p>
    <w:p>
      <w:r>
        <w:t>NoteFacade ofrece a los componentes una entrada simple para listar, crear, consultar, actualizar, eliminar y descargar. La fachada coordina NoteApi y NoteStore, administra indicadores de carga y evita que las páginas conozcan todos los detalles de HTTP y estado.</w:t>
      </w:r>
    </w:p>
    <w:p>
      <w:pPr>
        <w:keepLines/>
        <w:spacing w:before="80" w:after="160"/>
        <w:ind w:left="255" w:right="142"/>
        <w:shd w:fill="F2F2F2"/>
      </w:pPr>
      <w:r>
        <w:rPr>
          <w:rFonts w:ascii="Consolas" w:hAnsi="Consolas"/>
          <w:sz w:val="16"/>
        </w:rPr>
        <w:t>update(id: number, data: UpdateNoteRequest, files: File[]) {</w:t>
        <w:br/>
        <w:t xml:space="preserve">  return this.executeWithActionLoading(</w:t>
        <w:br/>
        <w:t xml:space="preserve">    this.noteApi.update(id, data, files).pipe(</w:t>
        <w:br/>
        <w:t xml:space="preserve">      tap(response =&gt; this.noteStore.setNote(response.data ?? null)),</w:t>
        <w:br/>
        <w:t xml:space="preserve">    ),</w:t>
        <w:br/>
        <w:t xml:space="preserve">  );</w:t>
        <w:br/>
        <w:t>}</w:t>
      </w:r>
    </w:p>
    <w:p>
      <w:pPr>
        <w:pStyle w:val="Heading2"/>
      </w:pPr>
      <w:r>
        <w:t>Patrón Mapper</w:t>
      </w:r>
    </w:p>
    <w:p>
      <w:pPr>
        <w:spacing w:after="80"/>
      </w:pPr>
      <w:r>
        <w:rPr>
          <w:b/>
        </w:rPr>
        <w:t xml:space="preserve">Ruta: </w:t>
      </w:r>
      <w:r>
        <w:rPr>
          <w:rFonts w:ascii="Consolas" w:hAnsi="Consolas"/>
          <w:sz w:val="18"/>
        </w:rPr>
        <w:t>prx-backend/src/modules/notes/application/mappers/note-response.mapper.ts</w:t>
      </w:r>
    </w:p>
    <w:p>
      <w:r>
        <w:t>NoteResponseMapper transforma NoteEntity en NoteResponseDto. La entidad conserva la forma del dominio y la API expone una respuesta controlada. También reutilizo mappers de usuario y archivos, evitando conversiones repetidas en cada Handler.</w:t>
      </w:r>
    </w:p>
    <w:p>
      <w:pPr>
        <w:keepLines/>
        <w:spacing w:before="80" w:after="160"/>
        <w:ind w:left="255" w:right="142"/>
        <w:shd w:fill="F2F2F2"/>
      </w:pPr>
      <w:r>
        <w:rPr>
          <w:rFonts w:ascii="Consolas" w:hAnsi="Consolas"/>
          <w:sz w:val="16"/>
        </w:rPr>
        <w:t>static toNoteResponse(note: NoteEntity): NoteResponseDto {</w:t>
        <w:br/>
        <w:t xml:space="preserve">  return {</w:t>
        <w:br/>
        <w:t xml:space="preserve">    id: note.id as number,</w:t>
        <w:br/>
        <w:t xml:space="preserve">    title: note.title,</w:t>
        <w:br/>
        <w:t xml:space="preserve">    tasks: note.tasks ?? [],</w:t>
        <w:br/>
        <w:t xml:space="preserve">    links: note.links ?? [],</w:t>
        <w:br/>
        <w:t xml:space="preserve">    files: NoteFileResponseMapper.toNoteFileResponseList(note.files ?? []),</w:t>
        <w:br/>
        <w:t xml:space="preserve">  };</w:t>
        <w:br/>
        <w:t>}</w:t>
      </w:r>
    </w:p>
    <w:p>
      <w:pPr>
        <w:pStyle w:val="Heading2"/>
      </w:pPr>
      <w:r>
        <w:t>Patrón Store reactivo</w:t>
      </w:r>
    </w:p>
    <w:p>
      <w:pPr>
        <w:spacing w:after="80"/>
      </w:pPr>
      <w:r>
        <w:rPr>
          <w:b/>
        </w:rPr>
        <w:t xml:space="preserve">Ruta: </w:t>
      </w:r>
      <w:r>
        <w:rPr>
          <w:rFonts w:ascii="Consolas" w:hAnsi="Consolas"/>
          <w:sz w:val="18"/>
        </w:rPr>
        <w:t>prx-frontend/src/app/features/notes/infrastructure/store/note.store.ts</w:t>
      </w:r>
    </w:p>
    <w:p>
      <w:r>
        <w:t>Centralicé el estado de Notas mediante signals y computed de Angular. Las páginas consumen valores de solo lectura y la fachada realiza las actualizaciones. Esto mantiene sincronizada la interfaz y reduce estados duplicados.</w:t>
      </w:r>
    </w:p>
    <w:p>
      <w:pPr>
        <w:pStyle w:val="Heading2"/>
      </w:pPr>
      <w:r>
        <w:t>Inyección de dependencias</w:t>
      </w:r>
    </w:p>
    <w:p>
      <w:pPr>
        <w:spacing w:after="80"/>
      </w:pPr>
      <w:r>
        <w:rPr>
          <w:b/>
        </w:rPr>
        <w:t xml:space="preserve">Backend: </w:t>
      </w:r>
      <w:r>
        <w:rPr>
          <w:rFonts w:ascii="Consolas" w:hAnsi="Consolas"/>
          <w:sz w:val="18"/>
        </w:rPr>
        <w:t>prx-backend/src/modules/notes/notes.module.ts</w:t>
      </w:r>
    </w:p>
    <w:p>
      <w:pPr>
        <w:spacing w:after="80"/>
      </w:pPr>
      <w:r>
        <w:rPr>
          <w:b/>
        </w:rPr>
        <w:t xml:space="preserve">Frontend: </w:t>
      </w:r>
      <w:r>
        <w:rPr>
          <w:rFonts w:ascii="Consolas" w:hAnsi="Consolas"/>
          <w:sz w:val="18"/>
        </w:rPr>
        <w:t>prx-frontend/src/app/features/notes/application/facades/note.facade.ts</w:t>
      </w:r>
    </w:p>
    <w:p>
      <w:r>
        <w:t>NestJS resuelve repositorios y Handlers mediante providers; Angular resuelve NoteApi, NoteStore y servicios con inject. Esto disminuye el acoplamiento, facilita pruebas y concentra la configuración de dependencias.</w:t>
      </w:r>
    </w:p>
    <w:p>
      <w:pPr>
        <w:pStyle w:val="Heading2"/>
      </w:pPr>
      <w:r>
        <w:t>Eliminación lógica</w:t>
      </w:r>
    </w:p>
    <w:p>
      <w:pPr>
        <w:spacing w:after="80"/>
      </w:pPr>
      <w:r>
        <w:rPr>
          <w:b/>
        </w:rPr>
        <w:t xml:space="preserve">Ruta: </w:t>
      </w:r>
      <w:r>
        <w:rPr>
          <w:rFonts w:ascii="Consolas" w:hAnsi="Consolas"/>
          <w:sz w:val="18"/>
        </w:rPr>
        <w:t>prx-backend/src/modules/notes/infrastructure/persistence/prisma-note.repository.ts</w:t>
      </w:r>
    </w:p>
    <w:p>
      <w:r>
        <w:t>En lugar de borrar físicamente una nota, softDelete cambia status a 0 y conserva la auditoría. Las consultas normales filtran status igual a 1. Elegí este patrón porque permite trazabilidad y reduce el riesgo de pérdida irreversible.</w:t>
      </w:r>
    </w:p>
    <w:p>
      <w:pPr>
        <w:keepLines/>
        <w:spacing w:before="80" w:after="160"/>
        <w:ind w:left="255" w:right="142"/>
        <w:shd w:fill="F2F2F2"/>
      </w:pPr>
      <w:r>
        <w:rPr>
          <w:rFonts w:ascii="Consolas" w:hAnsi="Consolas"/>
          <w:sz w:val="16"/>
        </w:rPr>
        <w:t>async softDelete(id: number, updatedBy: number): Promise&lt;void&gt; {</w:t>
        <w:br/>
        <w:t xml:space="preserve">  await this.prisma.note.update({</w:t>
        <w:br/>
        <w:t xml:space="preserve">    where: { id },</w:t>
        <w:br/>
        <w:t xml:space="preserve">    data: { status: 0, updatedBy },</w:t>
        <w:br/>
        <w:t xml:space="preserve">  });</w:t>
        <w:br/>
        <w:t>}</w:t>
      </w:r>
    </w:p>
    <w:p>
      <w:pPr>
        <w:pStyle w:val="Heading1"/>
      </w:pPr>
      <w:r>
        <w:t>Validaciones y seguridad funcional</w:t>
      </w:r>
    </w:p>
    <w:p>
      <w:r>
        <w:t>La validación se realiza en más de una capa. El frontend mejora la experiencia del usuario, pero el backend vuelve a validar porque es la frontera confiable del sistema.</w:t>
      </w:r>
    </w:p>
    <w:tbl>
      <w:tblPr>
        <w:tblStyle w:val="TableGrid"/>
        <w:tblW w:type="auto" w:w="0"/>
        <w:jc w:val="center"/>
        <w:tblLook w:firstColumn="1" w:firstRow="1" w:lastColumn="0" w:lastRow="0" w:noHBand="0" w:noVBand="1" w:val="04A0"/>
      </w:tblPr>
      <w:tblGrid>
        <w:gridCol w:w="3211"/>
        <w:gridCol w:w="3211"/>
        <w:gridCol w:w="3211"/>
      </w:tblGrid>
      <w:tr>
        <w:trPr>
          <w:tblHeader w:val="true"/>
        </w:trPr>
        <w:tc>
          <w:tcPr>
            <w:tcW w:type="dxa" w:w="1701"/>
            <w:shd w:fill="1F4E78"/>
            <w:tcMar>
              <w:top w:w="100" w:type="dxa"/>
              <w:start w:w="120" w:type="dxa"/>
              <w:bottom w:w="100" w:type="dxa"/>
              <w:end w:w="120" w:type="dxa"/>
            </w:tcMar>
            <w:vAlign w:val="center"/>
          </w:tcPr>
          <w:p>
            <w:pPr>
              <w:jc w:val="center"/>
            </w:pPr>
            <w:r>
              <w:rPr>
                <w:b/>
                <w:color w:val="FFFFFF"/>
                <w:sz w:val="18"/>
              </w:rPr>
              <w:t>Regla</w:t>
            </w:r>
          </w:p>
        </w:tc>
        <w:tc>
          <w:tcPr>
            <w:tcW w:type="dxa" w:w="3969"/>
            <w:shd w:fill="1F4E78"/>
            <w:tcMar>
              <w:top w:w="100" w:type="dxa"/>
              <w:start w:w="120" w:type="dxa"/>
              <w:bottom w:w="100" w:type="dxa"/>
              <w:end w:w="120" w:type="dxa"/>
            </w:tcMar>
            <w:vAlign w:val="center"/>
          </w:tcPr>
          <w:p>
            <w:pPr>
              <w:jc w:val="center"/>
            </w:pPr>
            <w:r>
              <w:rPr>
                <w:b/>
                <w:color w:val="FFFFFF"/>
                <w:sz w:val="18"/>
              </w:rPr>
              <w:t>Frontend</w:t>
            </w:r>
          </w:p>
        </w:tc>
        <w:tc>
          <w:tcPr>
            <w:tcW w:type="dxa" w:w="4082"/>
            <w:shd w:fill="1F4E78"/>
            <w:tcMar>
              <w:top w:w="100" w:type="dxa"/>
              <w:start w:w="120" w:type="dxa"/>
              <w:bottom w:w="100" w:type="dxa"/>
              <w:end w:w="120" w:type="dxa"/>
            </w:tcMar>
            <w:vAlign w:val="center"/>
          </w:tcPr>
          <w:p>
            <w:pPr>
              <w:jc w:val="center"/>
            </w:pPr>
            <w:r>
              <w:rPr>
                <w:b/>
                <w:color w:val="FFFFFF"/>
                <w:sz w:val="18"/>
              </w:rPr>
              <w:t>Backend</w:t>
            </w:r>
          </w:p>
        </w:tc>
      </w:tr>
      <w:tr>
        <w:tc>
          <w:tcPr>
            <w:tcW w:type="dxa" w:w="1701"/>
            <w:tcMar>
              <w:top w:w="100" w:type="dxa"/>
              <w:start w:w="120" w:type="dxa"/>
              <w:bottom w:w="100" w:type="dxa"/>
              <w:end w:w="120" w:type="dxa"/>
            </w:tcMar>
            <w:vAlign w:val="center"/>
          </w:tcPr>
          <w:p>
            <w:pPr>
              <w:spacing w:after="0"/>
            </w:pPr>
            <w:r>
              <w:rPr>
                <w:sz w:val="17"/>
              </w:rPr>
              <w:t>Título</w:t>
            </w:r>
          </w:p>
        </w:tc>
        <w:tc>
          <w:tcPr>
            <w:tcW w:type="dxa" w:w="3969"/>
            <w:tcMar>
              <w:top w:w="100" w:type="dxa"/>
              <w:start w:w="120" w:type="dxa"/>
              <w:bottom w:w="100" w:type="dxa"/>
              <w:end w:w="120" w:type="dxa"/>
            </w:tcMar>
            <w:vAlign w:val="center"/>
          </w:tcPr>
          <w:p>
            <w:pPr>
              <w:spacing w:after="0"/>
            </w:pPr>
            <w:r>
              <w:rPr>
                <w:sz w:val="17"/>
              </w:rPr>
              <w:t>Obligatorio, sin espacios vacíos y máximo 150.</w:t>
            </w:r>
          </w:p>
        </w:tc>
        <w:tc>
          <w:tcPr>
            <w:tcW w:type="dxa" w:w="4082"/>
            <w:tcMar>
              <w:top w:w="100" w:type="dxa"/>
              <w:start w:w="120" w:type="dxa"/>
              <w:bottom w:w="100" w:type="dxa"/>
              <w:end w:w="120" w:type="dxa"/>
            </w:tcMar>
            <w:vAlign w:val="center"/>
          </w:tcPr>
          <w:p>
            <w:pPr>
              <w:spacing w:after="0"/>
            </w:pPr>
            <w:r>
              <w:rPr>
                <w:sz w:val="17"/>
              </w:rPr>
              <w:t>DTO normalizado, máximo 150 y búsqueda de duplicado activo.</w:t>
            </w:r>
          </w:p>
        </w:tc>
      </w:tr>
      <w:tr>
        <w:tc>
          <w:tcPr>
            <w:tcW w:type="dxa" w:w="1701"/>
            <w:tcMar>
              <w:top w:w="100" w:type="dxa"/>
              <w:start w:w="120" w:type="dxa"/>
              <w:bottom w:w="100" w:type="dxa"/>
              <w:end w:w="120" w:type="dxa"/>
            </w:tcMar>
            <w:vAlign w:val="center"/>
            <w:shd w:fill="EAF2F8"/>
          </w:tcPr>
          <w:p>
            <w:pPr>
              <w:spacing w:after="0"/>
            </w:pPr>
            <w:r>
              <w:rPr>
                <w:sz w:val="17"/>
              </w:rPr>
              <w:t>Contenido</w:t>
            </w:r>
          </w:p>
        </w:tc>
        <w:tc>
          <w:tcPr>
            <w:tcW w:type="dxa" w:w="3969"/>
            <w:tcMar>
              <w:top w:w="100" w:type="dxa"/>
              <w:start w:w="120" w:type="dxa"/>
              <w:bottom w:w="100" w:type="dxa"/>
              <w:end w:w="120" w:type="dxa"/>
            </w:tcMar>
            <w:vAlign w:val="center"/>
            <w:shd w:fill="EAF2F8"/>
          </w:tcPr>
          <w:p>
            <w:pPr>
              <w:spacing w:after="0"/>
            </w:pPr>
            <w:r>
              <w:rPr>
                <w:sz w:val="17"/>
              </w:rPr>
              <w:t>Obligatorio, sin espacios vacíos y máximo 65535.</w:t>
            </w:r>
          </w:p>
        </w:tc>
        <w:tc>
          <w:tcPr>
            <w:tcW w:type="dxa" w:w="4082"/>
            <w:tcMar>
              <w:top w:w="100" w:type="dxa"/>
              <w:start w:w="120" w:type="dxa"/>
              <w:bottom w:w="100" w:type="dxa"/>
              <w:end w:w="120" w:type="dxa"/>
            </w:tcMar>
            <w:vAlign w:val="center"/>
            <w:shd w:fill="EAF2F8"/>
          </w:tcPr>
          <w:p>
            <w:pPr>
              <w:spacing w:after="0"/>
            </w:pPr>
            <w:r>
              <w:rPr>
                <w:sz w:val="17"/>
              </w:rPr>
              <w:t>DTO obligatorio, normalizado y máximo 65535.</w:t>
            </w:r>
          </w:p>
        </w:tc>
      </w:tr>
      <w:tr>
        <w:tc>
          <w:tcPr>
            <w:tcW w:type="dxa" w:w="1701"/>
            <w:tcMar>
              <w:top w:w="100" w:type="dxa"/>
              <w:start w:w="120" w:type="dxa"/>
              <w:bottom w:w="100" w:type="dxa"/>
              <w:end w:w="120" w:type="dxa"/>
            </w:tcMar>
            <w:vAlign w:val="center"/>
          </w:tcPr>
          <w:p>
            <w:pPr>
              <w:spacing w:after="0"/>
            </w:pPr>
            <w:r>
              <w:rPr>
                <w:sz w:val="17"/>
              </w:rPr>
              <w:t>Título duplicado</w:t>
            </w:r>
          </w:p>
        </w:tc>
        <w:tc>
          <w:tcPr>
            <w:tcW w:type="dxa" w:w="3969"/>
            <w:tcMar>
              <w:top w:w="100" w:type="dxa"/>
              <w:start w:w="120" w:type="dxa"/>
              <w:bottom w:w="100" w:type="dxa"/>
              <w:end w:w="120" w:type="dxa"/>
            </w:tcMar>
            <w:vAlign w:val="center"/>
          </w:tcPr>
          <w:p>
            <w:pPr>
              <w:spacing w:after="0"/>
            </w:pPr>
            <w:r>
              <w:rPr>
                <w:sz w:val="17"/>
              </w:rPr>
              <w:t>Muestra el error devuelto por la API.</w:t>
            </w:r>
          </w:p>
        </w:tc>
        <w:tc>
          <w:tcPr>
            <w:tcW w:type="dxa" w:w="4082"/>
            <w:tcMar>
              <w:top w:w="100" w:type="dxa"/>
              <w:start w:w="120" w:type="dxa"/>
              <w:bottom w:w="100" w:type="dxa"/>
              <w:end w:w="120" w:type="dxa"/>
            </w:tcMar>
            <w:vAlign w:val="center"/>
          </w:tcPr>
          <w:p>
            <w:pPr>
              <w:spacing w:after="0"/>
            </w:pPr>
            <w:r>
              <w:rPr>
                <w:sz w:val="17"/>
              </w:rPr>
              <w:t>Valida por repositorio al crear y editar; excluye la nota actual.</w:t>
            </w:r>
          </w:p>
        </w:tc>
      </w:tr>
      <w:tr>
        <w:tc>
          <w:tcPr>
            <w:tcW w:type="dxa" w:w="1701"/>
            <w:tcMar>
              <w:top w:w="100" w:type="dxa"/>
              <w:start w:w="120" w:type="dxa"/>
              <w:bottom w:w="100" w:type="dxa"/>
              <w:end w:w="120" w:type="dxa"/>
            </w:tcMar>
            <w:vAlign w:val="center"/>
            <w:shd w:fill="EAF2F8"/>
          </w:tcPr>
          <w:p>
            <w:pPr>
              <w:spacing w:after="0"/>
            </w:pPr>
            <w:r>
              <w:rPr>
                <w:sz w:val="17"/>
              </w:rPr>
              <w:t>Enlaces</w:t>
            </w:r>
          </w:p>
        </w:tc>
        <w:tc>
          <w:tcPr>
            <w:tcW w:type="dxa" w:w="3969"/>
            <w:tcMar>
              <w:top w:w="100" w:type="dxa"/>
              <w:start w:w="120" w:type="dxa"/>
              <w:bottom w:w="100" w:type="dxa"/>
              <w:end w:w="120" w:type="dxa"/>
            </w:tcMar>
            <w:vAlign w:val="center"/>
            <w:shd w:fill="EAF2F8"/>
          </w:tcPr>
          <w:p>
            <w:pPr>
              <w:spacing w:after="0"/>
            </w:pPr>
            <w:r>
              <w:rPr>
                <w:sz w:val="17"/>
              </w:rPr>
              <w:t>Normaliza protocolo, valida URL, longitud y repetición.</w:t>
            </w:r>
          </w:p>
        </w:tc>
        <w:tc>
          <w:tcPr>
            <w:tcW w:type="dxa" w:w="4082"/>
            <w:tcMar>
              <w:top w:w="100" w:type="dxa"/>
              <w:start w:w="120" w:type="dxa"/>
              <w:bottom w:w="100" w:type="dxa"/>
              <w:end w:w="120" w:type="dxa"/>
            </w:tcMar>
            <w:vAlign w:val="center"/>
            <w:shd w:fill="EAF2F8"/>
          </w:tcPr>
          <w:p>
            <w:pPr>
              <w:spacing w:after="0"/>
            </w:pPr>
            <w:r>
              <w:rPr>
                <w:sz w:val="17"/>
              </w:rPr>
              <w:t>JSON válido, máximo 50, URL HTTP o HTTPS y máximo 2048.</w:t>
            </w:r>
          </w:p>
        </w:tc>
      </w:tr>
      <w:tr>
        <w:tc>
          <w:tcPr>
            <w:tcW w:type="dxa" w:w="1701"/>
            <w:tcMar>
              <w:top w:w="100" w:type="dxa"/>
              <w:start w:w="120" w:type="dxa"/>
              <w:bottom w:w="100" w:type="dxa"/>
              <w:end w:w="120" w:type="dxa"/>
            </w:tcMar>
            <w:vAlign w:val="center"/>
          </w:tcPr>
          <w:p>
            <w:pPr>
              <w:spacing w:after="0"/>
            </w:pPr>
            <w:r>
              <w:rPr>
                <w:sz w:val="17"/>
              </w:rPr>
              <w:t>Tareas</w:t>
            </w:r>
          </w:p>
        </w:tc>
        <w:tc>
          <w:tcPr>
            <w:tcW w:type="dxa" w:w="3969"/>
            <w:tcMar>
              <w:top w:w="100" w:type="dxa"/>
              <w:start w:w="120" w:type="dxa"/>
              <w:bottom w:w="100" w:type="dxa"/>
              <w:end w:w="120" w:type="dxa"/>
            </w:tcMar>
            <w:vAlign w:val="center"/>
          </w:tcPr>
          <w:p>
            <w:pPr>
              <w:spacing w:after="0"/>
            </w:pPr>
            <w:r>
              <w:rPr>
                <w:sz w:val="17"/>
              </w:rPr>
              <w:t>Título obligatorio y máximo 200.</w:t>
            </w:r>
          </w:p>
        </w:tc>
        <w:tc>
          <w:tcPr>
            <w:tcW w:type="dxa" w:w="4082"/>
            <w:tcMar>
              <w:top w:w="100" w:type="dxa"/>
              <w:start w:w="120" w:type="dxa"/>
              <w:bottom w:w="100" w:type="dxa"/>
              <w:end w:w="120" w:type="dxa"/>
            </w:tcMar>
            <w:vAlign w:val="center"/>
          </w:tcPr>
          <w:p>
            <w:pPr>
              <w:spacing w:after="0"/>
            </w:pPr>
            <w:r>
              <w:rPr>
                <w:sz w:val="17"/>
              </w:rPr>
              <w:t>JSON válido, máximo 100 y título máximo 200.</w:t>
            </w:r>
          </w:p>
        </w:tc>
      </w:tr>
      <w:tr>
        <w:tc>
          <w:tcPr>
            <w:tcW w:type="dxa" w:w="1701"/>
            <w:tcMar>
              <w:top w:w="100" w:type="dxa"/>
              <w:start w:w="120" w:type="dxa"/>
              <w:bottom w:w="100" w:type="dxa"/>
              <w:end w:w="120" w:type="dxa"/>
            </w:tcMar>
            <w:vAlign w:val="center"/>
            <w:shd w:fill="EAF2F8"/>
          </w:tcPr>
          <w:p>
            <w:pPr>
              <w:spacing w:after="0"/>
            </w:pPr>
            <w:r>
              <w:rPr>
                <w:sz w:val="17"/>
              </w:rPr>
              <w:t>Archivos</w:t>
            </w:r>
          </w:p>
        </w:tc>
        <w:tc>
          <w:tcPr>
            <w:tcW w:type="dxa" w:w="3969"/>
            <w:tcMar>
              <w:top w:w="100" w:type="dxa"/>
              <w:start w:w="120" w:type="dxa"/>
              <w:bottom w:w="100" w:type="dxa"/>
              <w:end w:w="120" w:type="dxa"/>
            </w:tcMar>
            <w:vAlign w:val="center"/>
            <w:shd w:fill="EAF2F8"/>
          </w:tcPr>
          <w:p>
            <w:pPr>
              <w:spacing w:after="0"/>
            </w:pPr>
            <w:r>
              <w:rPr>
                <w:sz w:val="17"/>
              </w:rPr>
              <w:t>Máximo cinco y 50 MB por archivo.</w:t>
            </w:r>
          </w:p>
        </w:tc>
        <w:tc>
          <w:tcPr>
            <w:tcW w:type="dxa" w:w="4082"/>
            <w:tcMar>
              <w:top w:w="100" w:type="dxa"/>
              <w:start w:w="120" w:type="dxa"/>
              <w:bottom w:w="100" w:type="dxa"/>
              <w:end w:w="120" w:type="dxa"/>
            </w:tcMar>
            <w:vAlign w:val="center"/>
            <w:shd w:fill="EAF2F8"/>
          </w:tcPr>
          <w:p>
            <w:pPr>
              <w:spacing w:after="0"/>
            </w:pPr>
            <w:r>
              <w:rPr>
                <w:sz w:val="17"/>
              </w:rPr>
              <w:t>Interceptor, pipe de carga y comprobación al actualizar.</w:t>
            </w:r>
          </w:p>
        </w:tc>
      </w:tr>
      <w:tr>
        <w:tc>
          <w:tcPr>
            <w:tcW w:type="dxa" w:w="1701"/>
            <w:tcMar>
              <w:top w:w="100" w:type="dxa"/>
              <w:start w:w="120" w:type="dxa"/>
              <w:bottom w:w="100" w:type="dxa"/>
              <w:end w:w="120" w:type="dxa"/>
            </w:tcMar>
            <w:vAlign w:val="center"/>
          </w:tcPr>
          <w:p>
            <w:pPr>
              <w:spacing w:after="0"/>
            </w:pPr>
            <w:r>
              <w:rPr>
                <w:sz w:val="17"/>
              </w:rPr>
              <w:t>Permisos</w:t>
            </w:r>
          </w:p>
        </w:tc>
        <w:tc>
          <w:tcPr>
            <w:tcW w:type="dxa" w:w="3969"/>
            <w:tcMar>
              <w:top w:w="100" w:type="dxa"/>
              <w:start w:w="120" w:type="dxa"/>
              <w:bottom w:w="100" w:type="dxa"/>
              <w:end w:w="120" w:type="dxa"/>
            </w:tcMar>
            <w:vAlign w:val="center"/>
          </w:tcPr>
          <w:p>
            <w:pPr>
              <w:spacing w:after="0"/>
            </w:pPr>
            <w:r>
              <w:rPr>
                <w:sz w:val="17"/>
              </w:rPr>
              <w:t>Oculta o desactiva acciones según usuario.</w:t>
            </w:r>
          </w:p>
        </w:tc>
        <w:tc>
          <w:tcPr>
            <w:tcW w:type="dxa" w:w="4082"/>
            <w:tcMar>
              <w:top w:w="100" w:type="dxa"/>
              <w:start w:w="120" w:type="dxa"/>
              <w:bottom w:w="100" w:type="dxa"/>
              <w:end w:w="120" w:type="dxa"/>
            </w:tcMar>
            <w:vAlign w:val="center"/>
          </w:tcPr>
          <w:p>
            <w:pPr>
              <w:spacing w:after="0"/>
            </w:pPr>
            <w:r>
              <w:rPr>
                <w:sz w:val="17"/>
              </w:rPr>
              <w:t>Verifica propietario, creador, miembro o copropietario.</w:t>
            </w:r>
          </w:p>
        </w:tc>
      </w:tr>
    </w:tbl>
    <w:p>
      <w:pPr>
        <w:spacing w:after="40"/>
      </w:pPr>
    </w:p>
    <w:p>
      <w:pPr>
        <w:pStyle w:val="Heading2"/>
      </w:pPr>
      <w:r>
        <w:t>Validación de títulos duplicados</w:t>
      </w:r>
    </w:p>
    <w:p>
      <w:pPr>
        <w:spacing w:after="80"/>
      </w:pPr>
      <w:r>
        <w:rPr>
          <w:b/>
        </w:rPr>
        <w:t xml:space="preserve">Ruta: </w:t>
      </w:r>
      <w:r>
        <w:rPr>
          <w:rFonts w:ascii="Consolas" w:hAnsi="Consolas"/>
          <w:sz w:val="18"/>
        </w:rPr>
        <w:t>prx-backend/src/modules/notes/application/commands/create-note/create-note.handler.ts</w:t>
      </w:r>
    </w:p>
    <w:p>
      <w:r>
        <w:t>Antes de crear una nota busco otra nota activa del mismo repositorio y con el mismo título normalizado. Si existe, detengo la operación y devuelvo el mensaje: Ya existe una nota con este título. Cambia el título. En la edición excluyo el identificador de la nota actual para permitir conservar su propio título.</w:t>
      </w:r>
    </w:p>
    <w:p>
      <w:pPr>
        <w:keepLines/>
        <w:spacing w:before="80" w:after="160"/>
        <w:ind w:left="255" w:right="142"/>
        <w:shd w:fill="F2F2F2"/>
      </w:pPr>
      <w:r>
        <w:rPr>
          <w:rFonts w:ascii="Consolas" w:hAnsi="Consolas"/>
          <w:sz w:val="16"/>
        </w:rPr>
        <w:t>const duplicate = await this.noteRepository</w:t>
        <w:br/>
        <w:t xml:space="preserve">  .findActiveByRepositoryIdAndTitle(repositoryId, title);</w:t>
        <w:br/>
        <w:br/>
        <w:t>if (duplicate) {</w:t>
        <w:br/>
        <w:t xml:space="preserve">  throw new BadRequestException(</w:t>
        <w:br/>
        <w:t xml:space="preserve">    'Ya existe una nota con este título. Cambia el título.',</w:t>
        <w:br/>
        <w:t xml:space="preserve">  );</w:t>
        <w:br/>
        <w:t>}</w:t>
      </w:r>
    </w:p>
    <w:p>
      <w:pPr>
        <w:pStyle w:val="Heading2"/>
      </w:pPr>
      <w:r>
        <w:t>Confirmaciones de acciones</w:t>
      </w:r>
    </w:p>
    <w:p>
      <w:pPr>
        <w:spacing w:after="80"/>
      </w:pPr>
      <w:r>
        <w:rPr>
          <w:b/>
        </w:rPr>
        <w:t xml:space="preserve">Servicio: </w:t>
      </w:r>
      <w:r>
        <w:rPr>
          <w:rFonts w:ascii="Consolas" w:hAnsi="Consolas"/>
          <w:sz w:val="18"/>
        </w:rPr>
        <w:t>prx-frontend/src/app/core/services/confirm-dialog.service.ts</w:t>
      </w:r>
    </w:p>
    <w:p>
      <w:pPr>
        <w:spacing w:after="80"/>
      </w:pPr>
      <w:r>
        <w:rPr>
          <w:b/>
        </w:rPr>
        <w:t xml:space="preserve">Uso: </w:t>
      </w:r>
      <w:r>
        <w:rPr>
          <w:rFonts w:ascii="Consolas" w:hAnsi="Consolas"/>
          <w:sz w:val="18"/>
        </w:rPr>
        <w:t>prx-frontend/src/app/features/notes/presentation/pages/</w:t>
      </w:r>
    </w:p>
    <w:p>
      <w:r>
        <w:t>Agregué confirmaciones antes de eliminar notas, tareas, enlaces, archivos e imágenes. También agregué una pregunta antes de guardar cambios al editar una nota. El usuario puede cancelar la operación antes de modificar el estado.</w:t>
      </w:r>
    </w:p>
    <w:p>
      <w:pPr>
        <w:keepLines/>
        <w:spacing w:before="80" w:after="160"/>
        <w:ind w:left="255" w:right="142"/>
        <w:shd w:fill="F2F2F2"/>
      </w:pPr>
      <w:r>
        <w:rPr>
          <w:rFonts w:ascii="Consolas" w:hAnsi="Consolas"/>
          <w:sz w:val="16"/>
        </w:rPr>
        <w:t>this.confirmService.confirm({</w:t>
        <w:br/>
        <w:t xml:space="preserve">  header: 'Guardar cambios',</w:t>
        <w:br/>
        <w:t xml:space="preserve">  message: '¿Deseas guardar los cambios realizados en esta nota?',</w:t>
        <w:br/>
        <w:t xml:space="preserve">  acceptLabel: 'Guardar',</w:t>
        <w:br/>
        <w:t xml:space="preserve">  rejectLabel: 'Cancelar',</w:t>
        <w:br/>
        <w:t xml:space="preserve">  accept: () =&gt; this.persist(true),</w:t>
        <w:br/>
        <w:t>});</w:t>
      </w:r>
    </w:p>
    <w:p>
      <w:pPr>
        <w:pStyle w:val="Heading1"/>
      </w:pPr>
      <w:r>
        <w:t>Endpoints entregados</w:t>
      </w:r>
    </w:p>
    <w:p>
      <w:pPr>
        <w:spacing w:after="80"/>
      </w:pPr>
      <w:r>
        <w:rPr>
          <w:b/>
        </w:rPr>
        <w:t xml:space="preserve">Ruta: </w:t>
      </w:r>
      <w:r>
        <w:rPr>
          <w:rFonts w:ascii="Consolas" w:hAnsi="Consolas"/>
          <w:sz w:val="18"/>
        </w:rPr>
        <w:t>prx-backend/src/modules/notes/presentation/controllers/notes.controller.ts</w:t>
      </w:r>
    </w:p>
    <w:tbl>
      <w:tblPr>
        <w:tblStyle w:val="TableGrid"/>
        <w:tblW w:type="auto" w:w="0"/>
        <w:jc w:val="center"/>
        <w:tblLook w:firstColumn="1" w:firstRow="1" w:lastColumn="0" w:lastRow="0" w:noHBand="0" w:noVBand="1" w:val="04A0"/>
      </w:tblPr>
      <w:tblGrid>
        <w:gridCol w:w="3211"/>
        <w:gridCol w:w="3211"/>
        <w:gridCol w:w="3211"/>
      </w:tblGrid>
      <w:tr>
        <w:trPr>
          <w:tblHeader w:val="true"/>
        </w:trPr>
        <w:tc>
          <w:tcPr>
            <w:tcW w:type="dxa" w:w="1247"/>
            <w:shd w:fill="1F4E78"/>
            <w:tcMar>
              <w:top w:w="100" w:type="dxa"/>
              <w:start w:w="120" w:type="dxa"/>
              <w:bottom w:w="100" w:type="dxa"/>
              <w:end w:w="120" w:type="dxa"/>
            </w:tcMar>
            <w:vAlign w:val="center"/>
          </w:tcPr>
          <w:p>
            <w:pPr>
              <w:jc w:val="center"/>
            </w:pPr>
            <w:r>
              <w:rPr>
                <w:b/>
                <w:color w:val="FFFFFF"/>
                <w:sz w:val="18"/>
              </w:rPr>
              <w:t>Método</w:t>
            </w:r>
          </w:p>
        </w:tc>
        <w:tc>
          <w:tcPr>
            <w:tcW w:type="dxa" w:w="3685"/>
            <w:shd w:fill="1F4E78"/>
            <w:tcMar>
              <w:top w:w="100" w:type="dxa"/>
              <w:start w:w="120" w:type="dxa"/>
              <w:bottom w:w="100" w:type="dxa"/>
              <w:end w:w="120" w:type="dxa"/>
            </w:tcMar>
            <w:vAlign w:val="center"/>
          </w:tcPr>
          <w:p>
            <w:pPr>
              <w:jc w:val="center"/>
            </w:pPr>
            <w:r>
              <w:rPr>
                <w:b/>
                <w:color w:val="FFFFFF"/>
                <w:sz w:val="18"/>
              </w:rPr>
              <w:t>Endpoint</w:t>
            </w:r>
          </w:p>
        </w:tc>
        <w:tc>
          <w:tcPr>
            <w:tcW w:type="dxa" w:w="4819"/>
            <w:shd w:fill="1F4E78"/>
            <w:tcMar>
              <w:top w:w="100" w:type="dxa"/>
              <w:start w:w="120" w:type="dxa"/>
              <w:bottom w:w="100" w:type="dxa"/>
              <w:end w:w="120" w:type="dxa"/>
            </w:tcMar>
            <w:vAlign w:val="center"/>
          </w:tcPr>
          <w:p>
            <w:pPr>
              <w:jc w:val="center"/>
            </w:pPr>
            <w:r>
              <w:rPr>
                <w:b/>
                <w:color w:val="FFFFFF"/>
                <w:sz w:val="18"/>
              </w:rPr>
              <w:t>Uso</w:t>
            </w:r>
          </w:p>
        </w:tc>
      </w:tr>
      <w:tr>
        <w:tc>
          <w:tcPr>
            <w:tcW w:type="dxa" w:w="1247"/>
            <w:tcMar>
              <w:top w:w="100" w:type="dxa"/>
              <w:start w:w="120" w:type="dxa"/>
              <w:bottom w:w="100" w:type="dxa"/>
              <w:end w:w="120" w:type="dxa"/>
            </w:tcMar>
            <w:vAlign w:val="center"/>
          </w:tcPr>
          <w:p>
            <w:pPr>
              <w:spacing w:after="0"/>
            </w:pPr>
            <w:r>
              <w:rPr>
                <w:sz w:val="17"/>
              </w:rPr>
              <w:t>GET</w:t>
            </w:r>
          </w:p>
        </w:tc>
        <w:tc>
          <w:tcPr>
            <w:tcW w:type="dxa" w:w="3685"/>
            <w:tcMar>
              <w:top w:w="100" w:type="dxa"/>
              <w:start w:w="120" w:type="dxa"/>
              <w:bottom w:w="100" w:type="dxa"/>
              <w:end w:w="120" w:type="dxa"/>
            </w:tcMar>
            <w:vAlign w:val="center"/>
          </w:tcPr>
          <w:p>
            <w:pPr>
              <w:spacing w:after="0"/>
            </w:pPr>
            <w:r>
              <w:rPr>
                <w:sz w:val="17"/>
              </w:rPr>
              <w:t>/notes/repository/:repositoryId</w:t>
            </w:r>
          </w:p>
        </w:tc>
        <w:tc>
          <w:tcPr>
            <w:tcW w:type="dxa" w:w="4819"/>
            <w:tcMar>
              <w:top w:w="100" w:type="dxa"/>
              <w:start w:w="120" w:type="dxa"/>
              <w:bottom w:w="100" w:type="dxa"/>
              <w:end w:w="120" w:type="dxa"/>
            </w:tcMar>
            <w:vAlign w:val="center"/>
          </w:tcPr>
          <w:p>
            <w:pPr>
              <w:spacing w:after="0"/>
            </w:pPr>
            <w:r>
              <w:rPr>
                <w:sz w:val="17"/>
              </w:rPr>
              <w:t>Lista paginada de notas del repositorio.</w:t>
            </w:r>
          </w:p>
        </w:tc>
      </w:tr>
      <w:tr>
        <w:tc>
          <w:tcPr>
            <w:tcW w:type="dxa" w:w="1247"/>
            <w:tcMar>
              <w:top w:w="100" w:type="dxa"/>
              <w:start w:w="120" w:type="dxa"/>
              <w:bottom w:w="100" w:type="dxa"/>
              <w:end w:w="120" w:type="dxa"/>
            </w:tcMar>
            <w:vAlign w:val="center"/>
            <w:shd w:fill="EAF2F8"/>
          </w:tcPr>
          <w:p>
            <w:pPr>
              <w:spacing w:after="0"/>
            </w:pPr>
            <w:r>
              <w:rPr>
                <w:sz w:val="17"/>
              </w:rPr>
              <w:t>GET</w:t>
            </w:r>
          </w:p>
        </w:tc>
        <w:tc>
          <w:tcPr>
            <w:tcW w:type="dxa" w:w="3685"/>
            <w:tcMar>
              <w:top w:w="100" w:type="dxa"/>
              <w:start w:w="120" w:type="dxa"/>
              <w:bottom w:w="100" w:type="dxa"/>
              <w:end w:w="120" w:type="dxa"/>
            </w:tcMar>
            <w:vAlign w:val="center"/>
            <w:shd w:fill="EAF2F8"/>
          </w:tcPr>
          <w:p>
            <w:pPr>
              <w:spacing w:after="0"/>
            </w:pPr>
            <w:r>
              <w:rPr>
                <w:sz w:val="17"/>
              </w:rPr>
              <w:t>/notes/:id</w:t>
            </w:r>
          </w:p>
        </w:tc>
        <w:tc>
          <w:tcPr>
            <w:tcW w:type="dxa" w:w="4819"/>
            <w:tcMar>
              <w:top w:w="100" w:type="dxa"/>
              <w:start w:w="120" w:type="dxa"/>
              <w:bottom w:w="100" w:type="dxa"/>
              <w:end w:w="120" w:type="dxa"/>
            </w:tcMar>
            <w:vAlign w:val="center"/>
            <w:shd w:fill="EAF2F8"/>
          </w:tcPr>
          <w:p>
            <w:pPr>
              <w:spacing w:after="0"/>
            </w:pPr>
            <w:r>
              <w:rPr>
                <w:sz w:val="17"/>
              </w:rPr>
              <w:t>Detalle de una nota.</w:t>
            </w:r>
          </w:p>
        </w:tc>
      </w:tr>
      <w:tr>
        <w:tc>
          <w:tcPr>
            <w:tcW w:type="dxa" w:w="1247"/>
            <w:tcMar>
              <w:top w:w="100" w:type="dxa"/>
              <w:start w:w="120" w:type="dxa"/>
              <w:bottom w:w="100" w:type="dxa"/>
              <w:end w:w="120" w:type="dxa"/>
            </w:tcMar>
            <w:vAlign w:val="center"/>
          </w:tcPr>
          <w:p>
            <w:pPr>
              <w:spacing w:after="0"/>
            </w:pPr>
            <w:r>
              <w:rPr>
                <w:sz w:val="17"/>
              </w:rPr>
              <w:t>POST</w:t>
            </w:r>
          </w:p>
        </w:tc>
        <w:tc>
          <w:tcPr>
            <w:tcW w:type="dxa" w:w="3685"/>
            <w:tcMar>
              <w:top w:w="100" w:type="dxa"/>
              <w:start w:w="120" w:type="dxa"/>
              <w:bottom w:w="100" w:type="dxa"/>
              <w:end w:w="120" w:type="dxa"/>
            </w:tcMar>
            <w:vAlign w:val="center"/>
          </w:tcPr>
          <w:p>
            <w:pPr>
              <w:spacing w:after="0"/>
            </w:pPr>
            <w:r>
              <w:rPr>
                <w:sz w:val="17"/>
              </w:rPr>
              <w:t>/notes/repository/:repositoryId</w:t>
            </w:r>
          </w:p>
        </w:tc>
        <w:tc>
          <w:tcPr>
            <w:tcW w:type="dxa" w:w="4819"/>
            <w:tcMar>
              <w:top w:w="100" w:type="dxa"/>
              <w:start w:w="120" w:type="dxa"/>
              <w:bottom w:w="100" w:type="dxa"/>
              <w:end w:w="120" w:type="dxa"/>
            </w:tcMar>
            <w:vAlign w:val="center"/>
          </w:tcPr>
          <w:p>
            <w:pPr>
              <w:spacing w:after="0"/>
            </w:pPr>
            <w:r>
              <w:rPr>
                <w:sz w:val="17"/>
              </w:rPr>
              <w:t>Crea una nota con adjuntos.</w:t>
            </w:r>
          </w:p>
        </w:tc>
      </w:tr>
      <w:tr>
        <w:tc>
          <w:tcPr>
            <w:tcW w:type="dxa" w:w="1247"/>
            <w:tcMar>
              <w:top w:w="100" w:type="dxa"/>
              <w:start w:w="120" w:type="dxa"/>
              <w:bottom w:w="100" w:type="dxa"/>
              <w:end w:w="120" w:type="dxa"/>
            </w:tcMar>
            <w:vAlign w:val="center"/>
            <w:shd w:fill="EAF2F8"/>
          </w:tcPr>
          <w:p>
            <w:pPr>
              <w:spacing w:after="0"/>
            </w:pPr>
            <w:r>
              <w:rPr>
                <w:sz w:val="17"/>
              </w:rPr>
              <w:t>PUT</w:t>
            </w:r>
          </w:p>
        </w:tc>
        <w:tc>
          <w:tcPr>
            <w:tcW w:type="dxa" w:w="3685"/>
            <w:tcMar>
              <w:top w:w="100" w:type="dxa"/>
              <w:start w:w="120" w:type="dxa"/>
              <w:bottom w:w="100" w:type="dxa"/>
              <w:end w:w="120" w:type="dxa"/>
            </w:tcMar>
            <w:vAlign w:val="center"/>
            <w:shd w:fill="EAF2F8"/>
          </w:tcPr>
          <w:p>
            <w:pPr>
              <w:spacing w:after="0"/>
            </w:pPr>
            <w:r>
              <w:rPr>
                <w:sz w:val="17"/>
              </w:rPr>
              <w:t>/notes/:id</w:t>
            </w:r>
          </w:p>
        </w:tc>
        <w:tc>
          <w:tcPr>
            <w:tcW w:type="dxa" w:w="4819"/>
            <w:tcMar>
              <w:top w:w="100" w:type="dxa"/>
              <w:start w:w="120" w:type="dxa"/>
              <w:bottom w:w="100" w:type="dxa"/>
              <w:end w:w="120" w:type="dxa"/>
            </w:tcMar>
            <w:vAlign w:val="center"/>
            <w:shd w:fill="EAF2F8"/>
          </w:tcPr>
          <w:p>
            <w:pPr>
              <w:spacing w:after="0"/>
            </w:pPr>
            <w:r>
              <w:rPr>
                <w:sz w:val="17"/>
              </w:rPr>
              <w:t>Actualiza datos, tareas, enlaces y adjuntos.</w:t>
            </w:r>
          </w:p>
        </w:tc>
      </w:tr>
      <w:tr>
        <w:tc>
          <w:tcPr>
            <w:tcW w:type="dxa" w:w="1247"/>
            <w:tcMar>
              <w:top w:w="100" w:type="dxa"/>
              <w:start w:w="120" w:type="dxa"/>
              <w:bottom w:w="100" w:type="dxa"/>
              <w:end w:w="120" w:type="dxa"/>
            </w:tcMar>
            <w:vAlign w:val="center"/>
          </w:tcPr>
          <w:p>
            <w:pPr>
              <w:spacing w:after="0"/>
            </w:pPr>
            <w:r>
              <w:rPr>
                <w:sz w:val="17"/>
              </w:rPr>
              <w:t>DELETE</w:t>
            </w:r>
          </w:p>
        </w:tc>
        <w:tc>
          <w:tcPr>
            <w:tcW w:type="dxa" w:w="3685"/>
            <w:tcMar>
              <w:top w:w="100" w:type="dxa"/>
              <w:start w:w="120" w:type="dxa"/>
              <w:bottom w:w="100" w:type="dxa"/>
              <w:end w:w="120" w:type="dxa"/>
            </w:tcMar>
            <w:vAlign w:val="center"/>
          </w:tcPr>
          <w:p>
            <w:pPr>
              <w:spacing w:after="0"/>
            </w:pPr>
            <w:r>
              <w:rPr>
                <w:sz w:val="17"/>
              </w:rPr>
              <w:t>/notes/:id</w:t>
            </w:r>
          </w:p>
        </w:tc>
        <w:tc>
          <w:tcPr>
            <w:tcW w:type="dxa" w:w="4819"/>
            <w:tcMar>
              <w:top w:w="100" w:type="dxa"/>
              <w:start w:w="120" w:type="dxa"/>
              <w:bottom w:w="100" w:type="dxa"/>
              <w:end w:w="120" w:type="dxa"/>
            </w:tcMar>
            <w:vAlign w:val="center"/>
          </w:tcPr>
          <w:p>
            <w:pPr>
              <w:spacing w:after="0"/>
            </w:pPr>
            <w:r>
              <w:rPr>
                <w:sz w:val="17"/>
              </w:rPr>
              <w:t>Realiza eliminación lógica autorizada.</w:t>
            </w:r>
          </w:p>
        </w:tc>
      </w:tr>
      <w:tr>
        <w:tc>
          <w:tcPr>
            <w:tcW w:type="dxa" w:w="1247"/>
            <w:tcMar>
              <w:top w:w="100" w:type="dxa"/>
              <w:start w:w="120" w:type="dxa"/>
              <w:bottom w:w="100" w:type="dxa"/>
              <w:end w:w="120" w:type="dxa"/>
            </w:tcMar>
            <w:vAlign w:val="center"/>
            <w:shd w:fill="EAF2F8"/>
          </w:tcPr>
          <w:p>
            <w:pPr>
              <w:spacing w:after="0"/>
            </w:pPr>
            <w:r>
              <w:rPr>
                <w:sz w:val="17"/>
              </w:rPr>
              <w:t>GET</w:t>
            </w:r>
          </w:p>
        </w:tc>
        <w:tc>
          <w:tcPr>
            <w:tcW w:type="dxa" w:w="3685"/>
            <w:tcMar>
              <w:top w:w="100" w:type="dxa"/>
              <w:start w:w="120" w:type="dxa"/>
              <w:bottom w:w="100" w:type="dxa"/>
              <w:end w:w="120" w:type="dxa"/>
            </w:tcMar>
            <w:vAlign w:val="center"/>
            <w:shd w:fill="EAF2F8"/>
          </w:tcPr>
          <w:p>
            <w:pPr>
              <w:spacing w:after="0"/>
            </w:pPr>
            <w:r>
              <w:rPr>
                <w:sz w:val="17"/>
              </w:rPr>
              <w:t>/notes/files/:id/download</w:t>
            </w:r>
          </w:p>
        </w:tc>
        <w:tc>
          <w:tcPr>
            <w:tcW w:type="dxa" w:w="4819"/>
            <w:tcMar>
              <w:top w:w="100" w:type="dxa"/>
              <w:start w:w="120" w:type="dxa"/>
              <w:bottom w:w="100" w:type="dxa"/>
              <w:end w:w="120" w:type="dxa"/>
            </w:tcMar>
            <w:vAlign w:val="center"/>
            <w:shd w:fill="EAF2F8"/>
          </w:tcPr>
          <w:p>
            <w:pPr>
              <w:spacing w:after="0"/>
            </w:pPr>
            <w:r>
              <w:rPr>
                <w:sz w:val="17"/>
              </w:rPr>
              <w:t>Genera acceso de descarga a un archivo.</w:t>
            </w:r>
          </w:p>
        </w:tc>
      </w:tr>
    </w:tbl>
    <w:p>
      <w:pPr>
        <w:spacing w:after="40"/>
      </w:pPr>
    </w:p>
    <w:p>
      <w:pPr>
        <w:pStyle w:val="Heading1"/>
      </w:pPr>
      <w:r>
        <w:t>Evidencias para la defensa del Sprint</w:t>
      </w:r>
    </w:p>
    <w:p>
      <w:r>
        <w:t>Para demostrar la implementación durante la exposición, seguiría este recorrido:</w:t>
      </w:r>
    </w:p>
    <w:tbl>
      <w:tblPr>
        <w:tblStyle w:val="TableGrid"/>
        <w:tblW w:type="auto" w:w="0"/>
        <w:jc w:val="center"/>
        <w:tblLook w:firstColumn="1" w:firstRow="1" w:lastColumn="0" w:lastRow="0" w:noHBand="0" w:noVBand="1" w:val="04A0"/>
      </w:tblPr>
      <w:tblGrid>
        <w:gridCol w:w="4816"/>
        <w:gridCol w:w="4816"/>
      </w:tblGrid>
      <w:tr>
        <w:trPr>
          <w:tblHeader w:val="true"/>
        </w:trPr>
        <w:tc>
          <w:tcPr>
            <w:tcW w:type="dxa" w:w="850"/>
            <w:shd w:fill="1F4E78"/>
            <w:tcMar>
              <w:top w:w="100" w:type="dxa"/>
              <w:start w:w="120" w:type="dxa"/>
              <w:bottom w:w="100" w:type="dxa"/>
              <w:end w:w="120" w:type="dxa"/>
            </w:tcMar>
            <w:vAlign w:val="center"/>
          </w:tcPr>
          <w:p>
            <w:pPr>
              <w:jc w:val="center"/>
            </w:pPr>
            <w:r>
              <w:rPr>
                <w:b/>
                <w:color w:val="FFFFFF"/>
                <w:sz w:val="18"/>
              </w:rPr>
              <w:t>Paso</w:t>
            </w:r>
          </w:p>
        </w:tc>
        <w:tc>
          <w:tcPr>
            <w:tcW w:type="dxa" w:w="8901"/>
            <w:shd w:fill="1F4E78"/>
            <w:tcMar>
              <w:top w:w="100" w:type="dxa"/>
              <w:start w:w="120" w:type="dxa"/>
              <w:bottom w:w="100" w:type="dxa"/>
              <w:end w:w="120" w:type="dxa"/>
            </w:tcMar>
            <w:vAlign w:val="center"/>
          </w:tcPr>
          <w:p>
            <w:pPr>
              <w:jc w:val="center"/>
            </w:pPr>
            <w:r>
              <w:rPr>
                <w:b/>
                <w:color w:val="FFFFFF"/>
                <w:sz w:val="18"/>
              </w:rPr>
              <w:t>Demostración</w:t>
            </w:r>
          </w:p>
        </w:tc>
      </w:tr>
      <w:tr>
        <w:tc>
          <w:tcPr>
            <w:tcW w:type="dxa" w:w="850"/>
            <w:tcMar>
              <w:top w:w="55" w:type="dxa"/>
              <w:start w:w="110" w:type="dxa"/>
              <w:bottom w:w="55" w:type="dxa"/>
              <w:end w:w="110" w:type="dxa"/>
            </w:tcMar>
            <w:vAlign w:val="center"/>
          </w:tcPr>
          <w:p>
            <w:pPr>
              <w:spacing w:after="0"/>
            </w:pPr>
            <w:r>
              <w:rPr>
                <w:sz w:val="16"/>
              </w:rPr>
              <w:t>1</w:t>
            </w:r>
          </w:p>
        </w:tc>
        <w:tc>
          <w:tcPr>
            <w:tcW w:type="dxa" w:w="8901"/>
            <w:tcMar>
              <w:top w:w="55" w:type="dxa"/>
              <w:start w:w="110" w:type="dxa"/>
              <w:bottom w:w="55" w:type="dxa"/>
              <w:end w:w="110" w:type="dxa"/>
            </w:tcMar>
            <w:vAlign w:val="center"/>
          </w:tcPr>
          <w:p>
            <w:pPr>
              <w:spacing w:after="0"/>
            </w:pPr>
            <w:r>
              <w:rPr>
                <w:sz w:val="16"/>
              </w:rPr>
              <w:t>Abrir prx-frontend/src/app/features/notes y mostrar la separación entre application, domain, infrastructure y presentation.</w:t>
            </w:r>
          </w:p>
        </w:tc>
      </w:tr>
      <w:tr>
        <w:tc>
          <w:tcPr>
            <w:tcW w:type="dxa" w:w="850"/>
            <w:tcMar>
              <w:top w:w="55" w:type="dxa"/>
              <w:start w:w="110" w:type="dxa"/>
              <w:bottom w:w="55" w:type="dxa"/>
              <w:end w:w="110" w:type="dxa"/>
            </w:tcMar>
            <w:vAlign w:val="center"/>
            <w:shd w:fill="EAF2F8"/>
          </w:tcPr>
          <w:p>
            <w:pPr>
              <w:spacing w:after="0"/>
            </w:pPr>
            <w:r>
              <w:rPr>
                <w:sz w:val="16"/>
              </w:rPr>
              <w:t>2</w:t>
            </w:r>
          </w:p>
        </w:tc>
        <w:tc>
          <w:tcPr>
            <w:tcW w:type="dxa" w:w="8901"/>
            <w:tcMar>
              <w:top w:w="55" w:type="dxa"/>
              <w:start w:w="110" w:type="dxa"/>
              <w:bottom w:w="55" w:type="dxa"/>
              <w:end w:w="110" w:type="dxa"/>
            </w:tcMar>
            <w:vAlign w:val="center"/>
            <w:shd w:fill="EAF2F8"/>
          </w:tcPr>
          <w:p>
            <w:pPr>
              <w:spacing w:after="0"/>
            </w:pPr>
            <w:r>
              <w:rPr>
                <w:sz w:val="16"/>
              </w:rPr>
              <w:t>Crear una nota con título, contenido, enlace e imagen para demostrar el flujo completo.</w:t>
            </w:r>
          </w:p>
        </w:tc>
      </w:tr>
      <w:tr>
        <w:tc>
          <w:tcPr>
            <w:tcW w:type="dxa" w:w="850"/>
            <w:tcMar>
              <w:top w:w="55" w:type="dxa"/>
              <w:start w:w="110" w:type="dxa"/>
              <w:bottom w:w="55" w:type="dxa"/>
              <w:end w:w="110" w:type="dxa"/>
            </w:tcMar>
            <w:vAlign w:val="center"/>
          </w:tcPr>
          <w:p>
            <w:pPr>
              <w:spacing w:after="0"/>
            </w:pPr>
            <w:r>
              <w:rPr>
                <w:sz w:val="16"/>
              </w:rPr>
              <w:t>3</w:t>
            </w:r>
          </w:p>
        </w:tc>
        <w:tc>
          <w:tcPr>
            <w:tcW w:type="dxa" w:w="8901"/>
            <w:tcMar>
              <w:top w:w="55" w:type="dxa"/>
              <w:start w:w="110" w:type="dxa"/>
              <w:bottom w:w="55" w:type="dxa"/>
              <w:end w:w="110" w:type="dxa"/>
            </w:tcMar>
            <w:vAlign w:val="center"/>
          </w:tcPr>
          <w:p>
            <w:pPr>
              <w:spacing w:after="0"/>
            </w:pPr>
            <w:r>
              <w:rPr>
                <w:sz w:val="16"/>
              </w:rPr>
              <w:t>Intentar crear otra nota con el mismo título y mostrar el mensaje que solicita cambiarlo.</w:t>
            </w:r>
          </w:p>
        </w:tc>
      </w:tr>
      <w:tr>
        <w:tc>
          <w:tcPr>
            <w:tcW w:type="dxa" w:w="850"/>
            <w:tcMar>
              <w:top w:w="55" w:type="dxa"/>
              <w:start w:w="110" w:type="dxa"/>
              <w:bottom w:w="55" w:type="dxa"/>
              <w:end w:w="110" w:type="dxa"/>
            </w:tcMar>
            <w:vAlign w:val="center"/>
            <w:shd w:fill="EAF2F8"/>
          </w:tcPr>
          <w:p>
            <w:pPr>
              <w:spacing w:after="0"/>
            </w:pPr>
            <w:r>
              <w:rPr>
                <w:sz w:val="16"/>
              </w:rPr>
              <w:t>4</w:t>
            </w:r>
          </w:p>
        </w:tc>
        <w:tc>
          <w:tcPr>
            <w:tcW w:type="dxa" w:w="8901"/>
            <w:tcMar>
              <w:top w:w="55" w:type="dxa"/>
              <w:start w:w="110" w:type="dxa"/>
              <w:bottom w:w="55" w:type="dxa"/>
              <w:end w:w="110" w:type="dxa"/>
            </w:tcMar>
            <w:vAlign w:val="center"/>
            <w:shd w:fill="EAF2F8"/>
          </w:tcPr>
          <w:p>
            <w:pPr>
              <w:spacing w:after="0"/>
            </w:pPr>
            <w:r>
              <w:rPr>
                <w:sz w:val="16"/>
              </w:rPr>
              <w:t>Abrir el detalle, agregar una tarea y editar un enlace o archivo.</w:t>
            </w:r>
          </w:p>
        </w:tc>
      </w:tr>
      <w:tr>
        <w:tc>
          <w:tcPr>
            <w:tcW w:type="dxa" w:w="850"/>
            <w:tcMar>
              <w:top w:w="55" w:type="dxa"/>
              <w:start w:w="110" w:type="dxa"/>
              <w:bottom w:w="55" w:type="dxa"/>
              <w:end w:w="110" w:type="dxa"/>
            </w:tcMar>
            <w:vAlign w:val="center"/>
          </w:tcPr>
          <w:p>
            <w:pPr>
              <w:spacing w:after="0"/>
            </w:pPr>
            <w:r>
              <w:rPr>
                <w:sz w:val="16"/>
              </w:rPr>
              <w:t>5</w:t>
            </w:r>
          </w:p>
        </w:tc>
        <w:tc>
          <w:tcPr>
            <w:tcW w:type="dxa" w:w="8901"/>
            <w:tcMar>
              <w:top w:w="55" w:type="dxa"/>
              <w:start w:w="110" w:type="dxa"/>
              <w:bottom w:w="55" w:type="dxa"/>
              <w:end w:w="110" w:type="dxa"/>
            </w:tcMar>
            <w:vAlign w:val="center"/>
          </w:tcPr>
          <w:p>
            <w:pPr>
              <w:spacing w:after="0"/>
            </w:pPr>
            <w:r>
              <w:rPr>
                <w:sz w:val="16"/>
              </w:rPr>
              <w:t>Pulsar Guardar cambios y mostrar la confirmación antes de persistir.</w:t>
            </w:r>
          </w:p>
        </w:tc>
      </w:tr>
      <w:tr>
        <w:tc>
          <w:tcPr>
            <w:tcW w:type="dxa" w:w="850"/>
            <w:tcMar>
              <w:top w:w="55" w:type="dxa"/>
              <w:start w:w="110" w:type="dxa"/>
              <w:bottom w:w="55" w:type="dxa"/>
              <w:end w:w="110" w:type="dxa"/>
            </w:tcMar>
            <w:vAlign w:val="center"/>
            <w:shd w:fill="EAF2F8"/>
          </w:tcPr>
          <w:p>
            <w:pPr>
              <w:spacing w:after="0"/>
            </w:pPr>
            <w:r>
              <w:rPr>
                <w:sz w:val="16"/>
              </w:rPr>
              <w:t>6</w:t>
            </w:r>
          </w:p>
        </w:tc>
        <w:tc>
          <w:tcPr>
            <w:tcW w:type="dxa" w:w="8901"/>
            <w:tcMar>
              <w:top w:w="55" w:type="dxa"/>
              <w:start w:w="110" w:type="dxa"/>
              <w:bottom w:w="55" w:type="dxa"/>
              <w:end w:w="110" w:type="dxa"/>
            </w:tcMar>
            <w:vAlign w:val="center"/>
            <w:shd w:fill="EAF2F8"/>
          </w:tcPr>
          <w:p>
            <w:pPr>
              <w:spacing w:after="0"/>
            </w:pPr>
            <w:r>
              <w:rPr>
                <w:sz w:val="16"/>
              </w:rPr>
              <w:t>Pulsar un botón de eliminar y mostrar la confirmación correspondiente.</w:t>
            </w:r>
          </w:p>
        </w:tc>
      </w:tr>
      <w:tr>
        <w:tc>
          <w:tcPr>
            <w:tcW w:type="dxa" w:w="850"/>
            <w:tcMar>
              <w:top w:w="55" w:type="dxa"/>
              <w:start w:w="110" w:type="dxa"/>
              <w:bottom w:w="55" w:type="dxa"/>
              <w:end w:w="110" w:type="dxa"/>
            </w:tcMar>
            <w:vAlign w:val="center"/>
          </w:tcPr>
          <w:p>
            <w:pPr>
              <w:spacing w:after="0"/>
            </w:pPr>
            <w:r>
              <w:rPr>
                <w:sz w:val="16"/>
              </w:rPr>
              <w:t>7</w:t>
            </w:r>
          </w:p>
        </w:tc>
        <w:tc>
          <w:tcPr>
            <w:tcW w:type="dxa" w:w="8901"/>
            <w:tcMar>
              <w:top w:w="55" w:type="dxa"/>
              <w:start w:w="110" w:type="dxa"/>
              <w:bottom w:w="55" w:type="dxa"/>
              <w:end w:w="110" w:type="dxa"/>
            </w:tcMar>
            <w:vAlign w:val="center"/>
          </w:tcPr>
          <w:p>
            <w:pPr>
              <w:spacing w:after="0"/>
            </w:pPr>
            <w:r>
              <w:rPr>
                <w:sz w:val="16"/>
              </w:rPr>
              <w:t>Abrir NotesController y los Handlers para explicar CQRS y responsabilidad única.</w:t>
            </w:r>
          </w:p>
        </w:tc>
      </w:tr>
      <w:tr>
        <w:tc>
          <w:tcPr>
            <w:tcW w:type="dxa" w:w="850"/>
            <w:tcMar>
              <w:top w:w="55" w:type="dxa"/>
              <w:start w:w="110" w:type="dxa"/>
              <w:bottom w:w="55" w:type="dxa"/>
              <w:end w:w="110" w:type="dxa"/>
            </w:tcMar>
            <w:vAlign w:val="center"/>
            <w:shd w:fill="EAF2F8"/>
          </w:tcPr>
          <w:p>
            <w:pPr>
              <w:spacing w:after="0"/>
            </w:pPr>
            <w:r>
              <w:rPr>
                <w:sz w:val="16"/>
              </w:rPr>
              <w:t>8</w:t>
            </w:r>
          </w:p>
        </w:tc>
        <w:tc>
          <w:tcPr>
            <w:tcW w:type="dxa" w:w="8901"/>
            <w:tcMar>
              <w:top w:w="55" w:type="dxa"/>
              <w:start w:w="110" w:type="dxa"/>
              <w:bottom w:w="55" w:type="dxa"/>
              <w:end w:w="110" w:type="dxa"/>
            </w:tcMar>
            <w:vAlign w:val="center"/>
            <w:shd w:fill="EAF2F8"/>
          </w:tcPr>
          <w:p>
            <w:pPr>
              <w:spacing w:after="0"/>
            </w:pPr>
            <w:r>
              <w:rPr>
                <w:sz w:val="16"/>
              </w:rPr>
              <w:t>Abrir NoteRepository, PrismaNoteRepository y NotesModule para explicar Repository e inversión de dependencias.</w:t>
            </w:r>
          </w:p>
        </w:tc>
      </w:tr>
      <w:tr>
        <w:tc>
          <w:tcPr>
            <w:tcW w:type="dxa" w:w="850"/>
            <w:tcMar>
              <w:top w:w="55" w:type="dxa"/>
              <w:start w:w="110" w:type="dxa"/>
              <w:bottom w:w="55" w:type="dxa"/>
              <w:end w:w="110" w:type="dxa"/>
            </w:tcMar>
            <w:vAlign w:val="center"/>
          </w:tcPr>
          <w:p>
            <w:pPr>
              <w:spacing w:after="0"/>
            </w:pPr>
            <w:r>
              <w:rPr>
                <w:sz w:val="16"/>
              </w:rPr>
              <w:t>9</w:t>
            </w:r>
          </w:p>
        </w:tc>
        <w:tc>
          <w:tcPr>
            <w:tcW w:type="dxa" w:w="8901"/>
            <w:tcMar>
              <w:top w:w="55" w:type="dxa"/>
              <w:start w:w="110" w:type="dxa"/>
              <w:bottom w:w="55" w:type="dxa"/>
              <w:end w:w="110" w:type="dxa"/>
            </w:tcMar>
            <w:vAlign w:val="center"/>
          </w:tcPr>
          <w:p>
            <w:pPr>
              <w:spacing w:after="0"/>
            </w:pPr>
            <w:r>
              <w:rPr>
                <w:sz w:val="16"/>
              </w:rPr>
              <w:t>Abrir NoteFacade, NoteApi y NoteStore para explicar la fachada y el estado reactivo del frontend.</w:t>
            </w:r>
          </w:p>
        </w:tc>
      </w:tr>
    </w:tbl>
    <w:p>
      <w:pPr>
        <w:spacing w:after="40"/>
      </w:pPr>
    </w:p>
    <w:p>
      <w:pPr>
        <w:pStyle w:val="Heading1"/>
      </w:pPr>
      <w:r>
        <w:t>Conclusión del Sprint 1</w:t>
      </w:r>
    </w:p>
    <w:p>
      <w:r>
        <w:t>En el Sprint 1 implementé el módulo de Notas de extremo a extremo, con permisos, adjuntos, tareas, enlaces, validaciones, confirmaciones y auditoría. SOLID se evidencia en la separación de responsabilidades, los contratos y la inyección de dependencias. CQRS, Repository, Facade, Mapper, Store reactivo y eliminación lógica hacen que la solución sea comprensible, extensible y mantenible.</w:t>
      </w:r>
    </w:p>
    <w:sectPr w:rsidR="00FC693F" w:rsidRPr="0006063C" w:rsidSect="00034616">
      <w:footerReference w:type="default" r:id="rId9"/>
      <w:pgSz w:w="12240" w:h="15840"/>
      <w:pgMar w:top="1191"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Sprint 1  Módulo de Notas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60" w:line="240" w:lineRule="auto" w:before="200"/>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del Sprint 1 del módulo de Notas</dc:title>
  <dc:subject>SOLID y patrones de diseño aplicados al módulo de Notas</dc:subject>
  <dc:creator>Equipo PRX</dc:creator>
  <cp:keywords/>
  <dc:description>generated by python-docx</dc:description>
  <cp:lastModifiedBy/>
  <cp:revision>1</cp:revision>
  <dcterms:created xsi:type="dcterms:W3CDTF">2013-12-23T23:15:00Z</dcterms:created>
  <dcterms:modified xsi:type="dcterms:W3CDTF">2013-12-23T23:15:00Z</dcterms:modified>
  <cp:category/>
</cp:coreProperties>
</file>