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Sweet Home Berlin: task list, November</w:t>
      </w:r>
    </w:p>
    <w:p>
      <w:pPr>
        <w:spacing w:after="100"/>
      </w:pPr>
      <w:r>
        <w:rPr>
          <w:i/>
          <w:iCs/>
          <w:sz w:val="20"/>
          <w:szCs w:val="20"/>
        </w:rPr>
        <w:t xml:space="preserve">This cycle focuses on pages that already appear in Google and should earn more clicks. Do tasks 1 to 3 first.</w:t>
      </w:r>
    </w:p>
    <w:p>
      <w:pPr>
        <w:pStyle w:val="Heading1"/>
        <w:spacing w:after="60" w:before="260"/>
      </w:pPr>
      <w:r>
        <w:rPr>
          <w:b/>
          <w:bCs/>
          <w:sz w:val="26"/>
          <w:szCs w:val="26"/>
        </w:rPr>
        <w:t xml:space="preserve">1. Homepage (DE and EN)</w:t>
      </w:r>
    </w:p>
    <w:p>
      <w:pPr>
        <w:pStyle w:val="ListParagraph"/>
        <w:numPr>
          <w:ilvl w:val="0"/>
          <w:numId w:val="2"/>
        </w:numPr>
        <w:spacing w:after="50"/>
      </w:pPr>
      <w:r>
        <w:t xml:space="preserve">Add a guide strip: 'Ratgeber für Käufer' / 'Guides for buyers', linking the four big guides (Immobilienpreise, Mietpreise, Grunderwerbsteuer, Kaufnebenkosten) and the three calculators. Plain links or small cards, in the server HTML</w:t>
      </w:r>
    </w:p>
    <w:p>
      <w:pPr>
        <w:pStyle w:val="ListParagraph"/>
        <w:numPr>
          <w:ilvl w:val="0"/>
          <w:numId w:val="2"/>
        </w:numPr>
        <w:spacing w:after="50"/>
      </w:pPr>
      <w:r>
        <w:t xml:space="preserve">Mobile map fix: scrolling over the map must scroll the page, not pan the map. One finger scrolls, two fingers pan (Leaflet gesture handling)</w:t>
      </w:r>
    </w:p>
    <w:p>
      <w:pPr>
        <w:pStyle w:val="Heading1"/>
        <w:spacing w:after="60" w:before="260"/>
      </w:pPr>
      <w:r>
        <w:rPr>
          <w:b/>
          <w:bCs/>
          <w:sz w:val="26"/>
          <w:szCs w:val="26"/>
        </w:rPr>
        <w:t xml:space="preserve">2. District price table on the Immobilienpreise guide</w:t>
      </w:r>
    </w:p>
    <w:p>
      <w:pPr>
        <w:pStyle w:val="ListParagraph"/>
        <w:numPr>
          <w:ilvl w:val="0"/>
          <w:numId w:val="2"/>
        </w:numPr>
        <w:spacing w:after="50"/>
      </w:pPr>
      <w:r>
        <w:t xml:space="preserve">Add a table of official purchase prices per district (Gutachterausschuss figures) to /blog/immobilienpreise-berlin, plus a simple chart</w:t>
      </w:r>
    </w:p>
    <w:p>
      <w:pPr>
        <w:pStyle w:val="ListParagraph"/>
        <w:numPr>
          <w:ilvl w:val="0"/>
          <w:numId w:val="2"/>
        </w:numPr>
        <w:spacing w:after="50"/>
      </w:pPr>
      <w:r>
        <w:t xml:space="preserve">Mirror it on /en/blog/berlin-property-prices-2026</w:t>
      </w:r>
    </w:p>
    <w:p>
      <w:pPr>
        <w:pStyle w:val="ListParagraph"/>
        <w:numPr>
          <w:ilvl w:val="0"/>
          <w:numId w:val="2"/>
        </w:numPr>
        <w:spacing w:after="50"/>
      </w:pPr>
      <w:r>
        <w:t xml:space="preserve">Request indexing for both after the change</w:t>
      </w:r>
    </w:p>
    <w:p>
      <w:pPr>
        <w:pStyle w:val="Heading1"/>
        <w:spacing w:after="60" w:before="260"/>
      </w:pPr>
      <w:r>
        <w:rPr>
          <w:b/>
          <w:bCs/>
          <w:sz w:val="26"/>
          <w:szCs w:val="26"/>
        </w:rPr>
        <w:t xml:space="preserve">3. Pages that rank but earn no clicks</w:t>
      </w:r>
    </w:p>
    <w:p>
      <w:pPr>
        <w:spacing w:after="100"/>
      </w:pPr>
      <w:r>
        <w:t xml:space="preserve">For each: rework title and meta description (concrete number or answer first), add one direct-answer paragraph right under the H1, request indexing after the edit.</w:t>
      </w:r>
    </w:p>
    <w:p>
      <w:pPr>
        <w:pStyle w:val="ListParagraph"/>
        <w:numPr>
          <w:ilvl w:val="0"/>
          <w:numId w:val="2"/>
        </w:numPr>
        <w:spacing w:after="50"/>
      </w:pPr>
      <w:r>
        <w:t xml:space="preserve">/en/blog/capital-gains-tax-property-germany. Title suggestion: 'Capital Gains Tax on German Property: 0% After 10 Years'</w:t>
      </w:r>
    </w:p>
    <w:p>
      <w:pPr>
        <w:pStyle w:val="ListParagraph"/>
        <w:numPr>
          <w:ilvl w:val="0"/>
          <w:numId w:val="2"/>
        </w:numPr>
        <w:spacing w:after="50"/>
      </w:pPr>
      <w:r>
        <w:t xml:space="preserve">/en/blog/berlin-real-estate-investment-guide-2026. Lead the description with a concrete number (vacancy 0.3%, prices 5,130 EUR/m2)</w:t>
      </w:r>
    </w:p>
    <w:p>
      <w:pPr>
        <w:pStyle w:val="ListParagraph"/>
        <w:numPr>
          <w:ilvl w:val="0"/>
          <w:numId w:val="2"/>
        </w:numPr>
        <w:spacing w:after="50"/>
      </w:pPr>
      <w:r>
        <w:t xml:space="preserve">/blog/mietpreise-berlin-bezirk. Lead with the current average rent figure, and add a small rent-by-district table</w:t>
      </w:r>
    </w:p>
    <w:p>
      <w:pPr>
        <w:pStyle w:val="ListParagraph"/>
        <w:numPr>
          <w:ilvl w:val="0"/>
          <w:numId w:val="2"/>
        </w:numPr>
        <w:spacing w:after="50"/>
      </w:pPr>
      <w:r>
        <w:t xml:space="preserve">/blog/eigenkapital-wohnungskauf. Lead with the rule of thumb in euros on a 400k example. Add a short paragraph on financing the purchase ('Kredit für den Wohnungskauf': what banks finance, what stays equity)</w:t>
      </w:r>
    </w:p>
    <w:p>
      <w:pPr>
        <w:pStyle w:val="ListParagraph"/>
        <w:numPr>
          <w:ilvl w:val="0"/>
          <w:numId w:val="2"/>
        </w:numPr>
        <w:spacing w:after="50"/>
      </w:pPr>
      <w:r>
        <w:t xml:space="preserve">/en/properties-for-sale-berlin. Title and description for the buying searcher, for example 'Buy an Apartment in Berlin: Current Listings and Prices | Sweet Home'</w:t>
      </w:r>
    </w:p>
    <w:p>
      <w:pPr>
        <w:pStyle w:val="ListParagraph"/>
        <w:numPr>
          <w:ilvl w:val="0"/>
          <w:numId w:val="2"/>
        </w:numPr>
        <w:spacing w:after="50"/>
      </w:pPr>
      <w:r>
        <w:t xml:space="preserve">/en/blog/best-berlin-districts-for-families. Name two districts in the title or description</w:t>
      </w:r>
    </w:p>
    <w:p>
      <w:pPr>
        <w:pStyle w:val="ListParagraph"/>
        <w:numPr>
          <w:ilvl w:val="0"/>
          <w:numId w:val="2"/>
        </w:numPr>
        <w:spacing w:after="50"/>
      </w:pPr>
      <w:r>
        <w:t xml:space="preserve">/blog/vermietete-wohnung-kaufen-berlin. Lead with the price-advantage number</w:t>
      </w:r>
    </w:p>
    <w:p>
      <w:pPr>
        <w:pStyle w:val="ListParagraph"/>
        <w:numPr>
          <w:ilvl w:val="0"/>
          <w:numId w:val="2"/>
        </w:numPr>
        <w:spacing w:after="50"/>
      </w:pPr>
      <w:r>
        <w:t xml:space="preserve">/blog/immobilienfinanzierung-berlin. Add a direct-answer opening (what equity and income a Berlin purchase realistically needs), and link to it from the homepage guide strip and the mortgage calculator</w:t>
      </w:r>
    </w:p>
    <w:p>
      <w:pPr>
        <w:pStyle w:val="Heading1"/>
        <w:spacing w:after="60" w:before="260"/>
      </w:pPr>
      <w:r>
        <w:rPr>
          <w:b/>
          <w:bCs/>
          <w:sz w:val="26"/>
          <w:szCs w:val="26"/>
        </w:rPr>
        <w:t xml:space="preserve">4. Meta descriptions, round 2</w:t>
      </w:r>
    </w:p>
    <w:p>
      <w:pPr>
        <w:pStyle w:val="ListParagraph"/>
        <w:numPr>
          <w:ilvl w:val="0"/>
          <w:numId w:val="2"/>
        </w:numPr>
        <w:spacing w:after="50"/>
      </w:pPr>
      <w:r>
        <w:t xml:space="preserve">Number-first pattern for: the 13 district pages, /wohnungen-berlin-kaufen and /en/properties-for-sale-berlin, the six newest posts and the three calculators</w:t>
      </w:r>
    </w:p>
    <w:p>
      <w:pPr>
        <w:pStyle w:val="ListParagraph"/>
        <w:numPr>
          <w:ilvl w:val="0"/>
          <w:numId w:val="2"/>
        </w:numPr>
        <w:spacing w:after="50"/>
      </w:pPr>
      <w:r>
        <w:t xml:space="preserve">First sentence: the concrete number or answer. Second: why this page. Send the batch in one list, I review before it goes live</w:t>
      </w:r>
    </w:p>
    <w:p>
      <w:pPr>
        <w:pStyle w:val="Heading1"/>
        <w:spacing w:after="60" w:before="260"/>
      </w:pPr>
      <w:r>
        <w:rPr>
          <w:b/>
          <w:bCs/>
          <w:sz w:val="26"/>
          <w:szCs w:val="26"/>
        </w:rPr>
        <w:t xml:space="preserve">5. Turn readers into enquiries</w:t>
      </w:r>
    </w:p>
    <w:p>
      <w:pPr>
        <w:pStyle w:val="ListParagraph"/>
        <w:numPr>
          <w:ilvl w:val="0"/>
          <w:numId w:val="2"/>
        </w:numPr>
        <w:spacing w:after="50"/>
      </w:pPr>
      <w:r>
        <w:t xml:space="preserve">Add a mid-article contact block to Immobilienpreise, Mietpreise and Grunderwerbsteuer: one sentence plus a contact link or short form, in the flow of the text, not a popup</w:t>
      </w:r>
    </w:p>
    <w:p>
      <w:pPr>
        <w:pStyle w:val="ListParagraph"/>
        <w:numPr>
          <w:ilvl w:val="0"/>
          <w:numId w:val="2"/>
        </w:numPr>
        <w:spacing w:after="50"/>
      </w:pPr>
      <w:r>
        <w:t xml:space="preserve">Add the current-listing cards block to those three guides where it is not live yet</w:t>
      </w:r>
    </w:p>
    <w:p>
      <w:pPr>
        <w:pStyle w:val="Heading1"/>
        <w:spacing w:after="60" w:before="260"/>
      </w:pPr>
      <w:r>
        <w:rPr>
          <w:b/>
          <w:bCs/>
          <w:sz w:val="26"/>
          <w:szCs w:val="26"/>
        </w:rPr>
        <w:t xml:space="preserve">6. Calculator mailers: add tracking</w:t>
      </w:r>
    </w:p>
    <w:p>
      <w:pPr>
        <w:pStyle w:val="ListParagraph"/>
        <w:numPr>
          <w:ilvl w:val="0"/>
          <w:numId w:val="2"/>
        </w:numPr>
        <w:spacing w:after="50"/>
      </w:pPr>
      <w:r>
        <w:t xml:space="preserve">Every link in the three mailers gets UTM parameters, for example ?utm_source=bmby&amp;utm_medium=email&amp;utm_campaign=calculator-kaufnebenkosten (campaign name per mailer), so each mailer's visits and enquiries show separately in Analytics</w:t>
      </w:r>
    </w:p>
    <w:p>
      <w:pPr>
        <w:pStyle w:val="Heading1"/>
        <w:spacing w:after="60" w:before="260"/>
      </w:pPr>
      <w:r>
        <w:rPr>
          <w:b/>
          <w:bCs/>
          <w:sz w:val="26"/>
          <w:szCs w:val="26"/>
        </w:rPr>
        <w:t xml:space="preserve">7. One popup rule for every overlay</w:t>
      </w:r>
    </w:p>
    <w:p>
      <w:pPr>
        <w:pStyle w:val="ListParagraph"/>
        <w:numPr>
          <w:ilvl w:val="0"/>
          <w:numId w:val="2"/>
        </w:numPr>
        <w:spacing w:after="50"/>
      </w:pPr>
      <w:r>
        <w:t xml:space="preserve">The trigger rules apply to any overlay, including ContactBeat and the Christmas popup: a mobile visitor arriving from Google must be able to read the page without an overlay covering it. Desktop and returning-visitor behavior can stay as is</w:t>
      </w:r>
    </w:p>
    <w:p>
      <w:pPr>
        <w:pStyle w:val="Heading1"/>
        <w:spacing w:after="60" w:before="260"/>
      </w:pPr>
      <w:r>
        <w:rPr>
          <w:b/>
          <w:bCs/>
          <w:sz w:val="26"/>
          <w:szCs w:val="26"/>
        </w:rPr>
        <w:t xml:space="preserve">8. Furnished-rental section</w:t>
      </w:r>
    </w:p>
    <w:p>
      <w:pPr>
        <w:pStyle w:val="ListParagraph"/>
        <w:numPr>
          <w:ilvl w:val="0"/>
          <w:numId w:val="2"/>
        </w:numPr>
        <w:spacing w:after="50"/>
      </w:pPr>
      <w:r>
        <w:t xml:space="preserve">Fix the invalid CAROUSEL structured data (itemListElement) on /moeblierte-wohnung/ and /en/furnished-apartment/ pages, once in the template: every list item needs @type ListItem, position and url, or remove the carousel markup. Validate with the Rich Results Test</w:t>
      </w:r>
    </w:p>
    <w:p>
      <w:pPr>
        <w:pStyle w:val="ListParagraph"/>
        <w:numPr>
          <w:ilvl w:val="0"/>
          <w:numId w:val="2"/>
        </w:numPr>
        <w:spacing w:after="50"/>
      </w:pPr>
      <w:r>
        <w:t xml:space="preserve">Bring these pages to the same standard as the rest: title pattern, number-first meta description, hreflang pairing DE/EN</w:t>
      </w:r>
    </w:p>
    <w:p>
      <w:pPr>
        <w:pStyle w:val="Heading1"/>
        <w:spacing w:after="60" w:before="260"/>
      </w:pPr>
      <w:r>
        <w:rPr>
          <w:b/>
          <w:bCs/>
          <w:sz w:val="26"/>
          <w:szCs w:val="26"/>
        </w:rPr>
        <w:t xml:space="preserve">9. Two new posts alongside the push work</w:t>
      </w:r>
    </w:p>
    <w:p>
      <w:pPr>
        <w:spacing w:after="100"/>
      </w:pPr>
      <w:r>
        <w:t xml:space="preserve">Both with English versions, same quality rules.</w:t>
      </w:r>
    </w:p>
    <w:p>
      <w:pPr>
        <w:pStyle w:val="ListParagraph"/>
        <w:numPr>
          <w:ilvl w:val="0"/>
          <w:numId w:val="2"/>
        </w:numPr>
        <w:spacing w:after="50"/>
      </w:pPr>
      <w:r>
        <w:t xml:space="preserve">Kaufnebenkosten finanzieren: geht das? (slug: /blog/kaufnebenkosten-finanzieren, EN: /en/blog/financing-purchase-costs-germany). What banks finance, what must be equity, how buyers bridge the gap. Links both ways with the Kaufnebenkosten-Rechner, plus the Kaufnebenkosten, Eigenkapital and Immobilienfinanzierung guides</w:t>
      </w:r>
    </w:p>
    <w:p>
      <w:pPr>
        <w:pStyle w:val="ListParagraph"/>
        <w:numPr>
          <w:ilvl w:val="0"/>
          <w:numId w:val="2"/>
        </w:numPr>
        <w:spacing w:after="50"/>
      </w:pPr>
      <w:r>
        <w:t xml:space="preserve">A guide for the furnished-rental section: furnished renting in Berlin, for tenants and for owners considering furnished letting. Main keyword and slug follow shortly ('möblierte wohnung berlin' or 'wohnung auf zeit berlin'). Links both ways with the /moeblierte-wohnung/ listing pages, plus Mietpreise and Vermietete Wohnung where natural</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6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Un-named</cp:lastModifiedBy>
  <cp:revision>1</cp:revision>
  <dcterms:created xsi:type="dcterms:W3CDTF">2026-10-26T15:56:50.754Z</dcterms:created>
  <dcterms:modified xsi:type="dcterms:W3CDTF">2026-10-26T15:56:50.754Z</dcterms:modified>
</cp:coreProperties>
</file>

<file path=docProps/custom.xml><?xml version="1.0" encoding="utf-8"?>
<Properties xmlns="http://schemas.openxmlformats.org/officeDocument/2006/custom-properties" xmlns:vt="http://schemas.openxmlformats.org/officeDocument/2006/docPropsVTypes"/>
</file>