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Tr="00CB6D80">
        <w:tc>
          <w:tcPr>
            <w:tcW w:w="8494" w:type="dxa"/>
            <w:gridSpan w:val="2"/>
          </w:tcPr>
          <w:p w:rsidR="00575A6E" w:rsidRDefault="00575A6E" w:rsidP="00CB6D80">
            <w:pPr>
              <w:jc w:val="center"/>
            </w:pPr>
            <w:r>
              <w:t>Teste Case Tradicional</w:t>
            </w:r>
          </w:p>
        </w:tc>
      </w:tr>
      <w:tr w:rsidR="0083520C" w:rsidRPr="0083520C" w:rsidTr="0083520C">
        <w:trPr>
          <w:trHeight w:val="247"/>
        </w:trPr>
        <w:tc>
          <w:tcPr>
            <w:tcW w:w="1980" w:type="dxa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b/>
                <w:sz w:val="20"/>
                <w:szCs w:val="20"/>
              </w:rPr>
              <w:t>CT-002</w:t>
            </w:r>
          </w:p>
        </w:tc>
      </w:tr>
      <w:tr w:rsidR="00575A6E" w:rsidRPr="0083520C" w:rsidTr="00CB6D80">
        <w:tc>
          <w:tcPr>
            <w:tcW w:w="1980" w:type="dxa"/>
          </w:tcPr>
          <w:p w:rsidR="00575A6E" w:rsidRPr="0083520C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</w:tcPr>
          <w:p w:rsidR="00575A6E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Cadastrar perfil de cuidador</w:t>
            </w:r>
          </w:p>
        </w:tc>
      </w:tr>
      <w:tr w:rsidR="00575A6E" w:rsidRPr="0083520C" w:rsidTr="00CB6D80">
        <w:tc>
          <w:tcPr>
            <w:tcW w:w="1980" w:type="dxa"/>
          </w:tcPr>
          <w:p w:rsidR="00575A6E" w:rsidRPr="0083520C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</w:tcPr>
          <w:p w:rsidR="00575A6E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83520C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83520C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83520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83520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3520C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83520C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  <w:bookmarkStart w:id="0" w:name="_GoBack"/>
        <w:bookmarkEnd w:id="0"/>
      </w:tr>
      <w:tr w:rsidR="00575A6E" w:rsidRPr="0083520C" w:rsidTr="00CB6D80">
        <w:tc>
          <w:tcPr>
            <w:tcW w:w="1980" w:type="dxa"/>
          </w:tcPr>
          <w:p w:rsidR="00575A6E" w:rsidRPr="0083520C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</w:tcPr>
          <w:p w:rsidR="00575A6E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Cuidador</w:t>
            </w:r>
          </w:p>
        </w:tc>
      </w:tr>
      <w:tr w:rsidR="0083520C" w:rsidRPr="0083520C" w:rsidTr="009635FE">
        <w:tc>
          <w:tcPr>
            <w:tcW w:w="1980" w:type="dxa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 xml:space="preserve">O sistema </w:t>
            </w:r>
            <w:proofErr w:type="spellStart"/>
            <w:proofErr w:type="gramStart"/>
            <w:r w:rsidRPr="0083520C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83520C">
              <w:rPr>
                <w:rFonts w:ascii="Arial" w:hAnsi="Arial" w:cs="Arial"/>
                <w:sz w:val="20"/>
                <w:szCs w:val="20"/>
              </w:rPr>
              <w:t xml:space="preserve"> deve estar disponível. O usuário ainda não deve possuir cadastro com o e-mail utilizado.</w:t>
            </w:r>
          </w:p>
        </w:tc>
      </w:tr>
      <w:tr w:rsidR="0083520C" w:rsidRPr="0083520C" w:rsidTr="00CB6D80">
        <w:trPr>
          <w:trHeight w:val="2446"/>
        </w:trPr>
        <w:tc>
          <w:tcPr>
            <w:tcW w:w="1980" w:type="dxa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83520C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83520C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83520C" w:rsidRPr="0083520C" w:rsidRDefault="0083520C" w:rsidP="0083520C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Principal: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 xml:space="preserve">1. Abrir o </w:t>
            </w:r>
            <w:proofErr w:type="spellStart"/>
            <w:proofErr w:type="gramStart"/>
            <w:r w:rsidRPr="0083520C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83520C">
              <w:rPr>
                <w:rFonts w:ascii="Arial" w:hAnsi="Arial" w:cs="Arial"/>
                <w:sz w:val="20"/>
                <w:szCs w:val="20"/>
              </w:rPr>
              <w:t xml:space="preserve"> no navegador.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2. Acessar a opção de cadastro de cuidador/perfil profissional.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3. Preencher os campos obrigatórios com dados fictícios válidos.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4. Enviar o formulário.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5. Verificar a mensagem apresentada e o próximo passo do fluxo.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1. Repetir o fluxo deixando um campo obrigatório vazio ou informando um e-mail em formato inválido.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2. Tentar enviar o formulário.</w:t>
            </w:r>
            <w:r w:rsidRPr="0083520C">
              <w:rPr>
                <w:rFonts w:ascii="Arial" w:hAnsi="Arial" w:cs="Arial"/>
                <w:sz w:val="20"/>
                <w:szCs w:val="20"/>
              </w:rPr>
              <w:br/>
              <w:t>3. Verificar se o sistema destaca os campos inválidos e orienta a correção.</w:t>
            </w:r>
          </w:p>
        </w:tc>
      </w:tr>
      <w:tr w:rsidR="0083520C" w:rsidRPr="0083520C" w:rsidTr="00CB6D80">
        <w:tc>
          <w:tcPr>
            <w:tcW w:w="1980" w:type="dxa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83520C" w:rsidRPr="0083520C" w:rsidRDefault="0083520C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83520C">
              <w:rPr>
                <w:rFonts w:ascii="Arial" w:hAnsi="Arial" w:cs="Arial"/>
                <w:sz w:val="20"/>
                <w:szCs w:val="20"/>
              </w:rPr>
              <w:t>No cenário principal, o cadastro deve ser aceito e o usuário deve receber confirmação ou orientação de continuidade. No alternativo, o formulário não deve prosseguir com dados inválidos.</w:t>
            </w:r>
          </w:p>
        </w:tc>
      </w:tr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575A6E"/>
    <w:rsid w:val="0083520C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2026-10-22T21:21:00Z</dcterms:modified>
</cp:coreProperties>
</file>