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0"/>
          <w:szCs w:val="40"/>
        </w:rPr>
        <w:t xml:space="preserve">DIARIO DE DECISIONES TÉCNICAS E IA</w:t>
      </w:r>
    </w:p>
    <w:p>
      <w:pPr>
        <w:spacing w:after="900"/>
        <w:jc w:val="center"/>
      </w:pPr>
      <w:r>
        <w:rPr>
          <w:color w:val="404040"/>
          <w:sz w:val="26"/>
          <w:szCs w:val="26"/>
        </w:rPr>
        <w:t xml:space="preserve">Módulo de Solicitudes Estudiantiles</w:t>
      </w:r>
    </w:p>
    <w:tbl>
      <w:tblPr>
        <w:tblW w:type="dxa" w:w="7800"/>
        <w:tblBorders>
          <w:top w:val="none"/>
          <w:left w:val="none"/>
          <w:bottom w:val="none"/>
          <w:right w:val="none"/>
          <w:insideH w:val="none"/>
          <w:insideV w:val="none"/>
        </w:tblBorders>
      </w:tblPr>
      <w:tblGrid>
        <w:gridCol w:w="2800"/>
        <w:gridCol w:w="5000"/>
      </w:tblGrid>
      <w:tr>
        <w:tc>
          <w:tcPr>
            <w:tcW w:type="dxa" w:w="2800"/>
            <w:tcMar>
              <w:top w:type="dxa" w:w="60"/>
              <w:bottom w:type="dxa" w:w="60"/>
            </w:tcMar>
          </w:tcPr>
          <w:p>
            <w:pPr>
              <w:spacing w:after="0" w:line="276"/>
            </w:pPr>
            <w:r>
              <w:rPr>
                <w:b/>
                <w:bCs/>
                <w:sz w:val="21"/>
                <w:szCs w:val="21"/>
              </w:rPr>
              <w:t xml:space="preserve">Curso</w:t>
            </w:r>
          </w:p>
        </w:tc>
        <w:tc>
          <w:tcPr>
            <w:tcW w:type="dxa" w:w="5000"/>
            <w:tcMar>
              <w:top w:type="dxa" w:w="60"/>
              <w:bottom w:type="dxa" w:w="60"/>
            </w:tcMar>
          </w:tcPr>
          <w:p>
            <w:pPr>
              <w:spacing w:after="0" w:line="276"/>
            </w:pPr>
            <w:r>
              <w:rPr>
                <w:sz w:val="21"/>
                <w:szCs w:val="21"/>
              </w:rPr>
              <w:t xml:space="preserve">Programación en Ambiente Web I</w:t>
            </w:r>
          </w:p>
        </w:tc>
      </w:tr>
      <w:tr>
        <w:tc>
          <w:tcPr>
            <w:tcW w:type="dxa" w:w="2800"/>
            <w:tcMar>
              <w:top w:type="dxa" w:w="60"/>
              <w:bottom w:type="dxa" w:w="60"/>
            </w:tcMar>
          </w:tcPr>
          <w:p>
            <w:pPr>
              <w:spacing w:after="0" w:line="276"/>
            </w:pPr>
            <w:r>
              <w:rPr>
                <w:b/>
                <w:bCs/>
                <w:sz w:val="21"/>
                <w:szCs w:val="21"/>
              </w:rPr>
              <w:t xml:space="preserve">Código</w:t>
            </w:r>
          </w:p>
        </w:tc>
        <w:tc>
          <w:tcPr>
            <w:tcW w:type="dxa" w:w="5000"/>
            <w:tcMar>
              <w:top w:type="dxa" w:w="60"/>
              <w:bottom w:type="dxa" w:w="60"/>
            </w:tcMar>
          </w:tcPr>
          <w:p>
            <w:pPr>
              <w:spacing w:after="0" w:line="276"/>
            </w:pPr>
            <w:r>
              <w:rPr>
                <w:sz w:val="21"/>
                <w:szCs w:val="21"/>
              </w:rPr>
              <w:t xml:space="preserve">ISW-521</w:t>
            </w:r>
          </w:p>
        </w:tc>
      </w:tr>
      <w:tr>
        <w:tc>
          <w:tcPr>
            <w:tcW w:type="dxa" w:w="2800"/>
            <w:tcMar>
              <w:top w:type="dxa" w:w="60"/>
              <w:bottom w:type="dxa" w:w="60"/>
            </w:tcMar>
          </w:tcPr>
          <w:p>
            <w:pPr>
              <w:spacing w:after="0" w:line="276"/>
            </w:pPr>
            <w:r>
              <w:rPr>
                <w:b/>
                <w:bCs/>
                <w:sz w:val="21"/>
                <w:szCs w:val="21"/>
              </w:rPr>
              <w:t xml:space="preserve">Institución</w:t>
            </w:r>
          </w:p>
        </w:tc>
        <w:tc>
          <w:tcPr>
            <w:tcW w:type="dxa" w:w="5000"/>
            <w:tcMar>
              <w:top w:type="dxa" w:w="60"/>
              <w:bottom w:type="dxa" w:w="60"/>
            </w:tcMar>
          </w:tcPr>
          <w:p>
            <w:pPr>
              <w:spacing w:after="0" w:line="276"/>
            </w:pPr>
            <w:r>
              <w:rPr>
                <w:sz w:val="21"/>
                <w:szCs w:val="21"/>
              </w:rPr>
              <w:t xml:space="preserve">UTN, Sede San Carlos</w:t>
            </w:r>
          </w:p>
        </w:tc>
      </w:tr>
      <w:tr>
        <w:tc>
          <w:tcPr>
            <w:tcW w:type="dxa" w:w="2800"/>
            <w:tcMar>
              <w:top w:type="dxa" w:w="60"/>
              <w:bottom w:type="dxa" w:w="60"/>
            </w:tcMar>
          </w:tcPr>
          <w:p>
            <w:pPr>
              <w:spacing w:after="0" w:line="276"/>
            </w:pPr>
            <w:r>
              <w:rPr>
                <w:b/>
                <w:bCs/>
                <w:sz w:val="21"/>
                <w:szCs w:val="21"/>
              </w:rPr>
              <w:t xml:space="preserve">Período</w:t>
            </w:r>
          </w:p>
        </w:tc>
        <w:tc>
          <w:tcPr>
            <w:tcW w:type="dxa" w:w="5000"/>
            <w:tcMar>
              <w:top w:type="dxa" w:w="60"/>
              <w:bottom w:type="dxa" w:w="60"/>
            </w:tcMar>
          </w:tcPr>
          <w:p>
            <w:pPr>
              <w:spacing w:after="0" w:line="276"/>
            </w:pPr>
            <w:r>
              <w:rPr>
                <w:sz w:val="21"/>
                <w:szCs w:val="21"/>
              </w:rPr>
              <w:t xml:space="preserve">2026 – II Cuatrimestre</w:t>
            </w:r>
          </w:p>
        </w:tc>
      </w:tr>
      <w:tr>
        <w:tc>
          <w:tcPr>
            <w:tcW w:type="dxa" w:w="2800"/>
            <w:tcMar>
              <w:top w:type="dxa" w:w="60"/>
              <w:bottom w:type="dxa" w:w="60"/>
            </w:tcMar>
          </w:tcPr>
          <w:p>
            <w:pPr>
              <w:spacing w:after="0" w:line="276"/>
            </w:pPr>
            <w:r>
              <w:rPr>
                <w:b/>
                <w:bCs/>
                <w:sz w:val="21"/>
                <w:szCs w:val="21"/>
              </w:rPr>
              <w:t xml:space="preserve">Docente</w:t>
            </w:r>
          </w:p>
        </w:tc>
        <w:tc>
          <w:tcPr>
            <w:tcW w:type="dxa" w:w="5000"/>
            <w:tcMar>
              <w:top w:type="dxa" w:w="60"/>
              <w:bottom w:type="dxa" w:w="60"/>
            </w:tcMar>
          </w:tcPr>
          <w:p>
            <w:pPr>
              <w:spacing w:after="0" w:line="276"/>
            </w:pPr>
            <w:r>
              <w:rPr>
                <w:sz w:val="21"/>
                <w:szCs w:val="21"/>
              </w:rPr>
              <w:t xml:space="preserve">Lic. Bryan Miguel Chaves Salas</w:t>
            </w:r>
          </w:p>
        </w:tc>
      </w:tr>
      <w:tr>
        <w:tc>
          <w:tcPr>
            <w:tcW w:type="dxa" w:w="2800"/>
            <w:tcMar>
              <w:top w:type="dxa" w:w="60"/>
              <w:bottom w:type="dxa" w:w="60"/>
            </w:tcMar>
          </w:tcPr>
          <w:p>
            <w:pPr>
              <w:spacing w:after="0" w:line="276"/>
            </w:pPr>
            <w:r>
              <w:rPr>
                <w:b/>
                <w:bCs/>
                <w:sz w:val="21"/>
                <w:szCs w:val="21"/>
              </w:rPr>
              <w:t xml:space="preserve">Proyecto</w:t>
            </w:r>
          </w:p>
        </w:tc>
        <w:tc>
          <w:tcPr>
            <w:tcW w:type="dxa" w:w="5000"/>
            <w:tcMar>
              <w:top w:type="dxa" w:w="60"/>
              <w:bottom w:type="dxa" w:w="60"/>
            </w:tcMar>
          </w:tcPr>
          <w:p>
            <w:pPr>
              <w:spacing w:after="0" w:line="276"/>
            </w:pPr>
            <w:r>
              <w:rPr>
                <w:sz w:val="21"/>
                <w:szCs w:val="21"/>
              </w:rPr>
              <w:t xml:space="preserve">Proyecto 4 — Solicitudes Estudiantiles</w:t>
            </w:r>
          </w:p>
        </w:tc>
      </w:tr>
      <w:tr>
        <w:tc>
          <w:tcPr>
            <w:tcW w:type="dxa" w:w="2800"/>
            <w:tcMar>
              <w:top w:type="dxa" w:w="60"/>
              <w:bottom w:type="dxa" w:w="60"/>
            </w:tcMar>
          </w:tcPr>
          <w:p>
            <w:pPr>
              <w:spacing w:after="0" w:line="276"/>
            </w:pPr>
            <w:r>
              <w:rPr>
                <w:b/>
                <w:bCs/>
                <w:sz w:val="21"/>
                <w:szCs w:val="21"/>
              </w:rPr>
              <w:t xml:space="preserve">Integrantes</w:t>
            </w:r>
          </w:p>
        </w:tc>
        <w:tc>
          <w:tcPr>
            <w:tcW w:type="dxa" w:w="5000"/>
            <w:tcMar>
              <w:top w:type="dxa" w:w="60"/>
              <w:bottom w:type="dxa" w:w="60"/>
            </w:tcMar>
          </w:tcPr>
          <w:p>
            <w:pPr>
              <w:spacing w:after="0" w:line="276"/>
            </w:pPr>
            <w:r>
              <w:rPr>
                <w:sz w:val="21"/>
                <w:szCs w:val="21"/>
              </w:rPr>
              <w:t xml:space="preserve">[completar]</w:t>
            </w:r>
          </w:p>
        </w:tc>
      </w:tr>
      <w:tr>
        <w:tc>
          <w:tcPr>
            <w:tcW w:type="dxa" w:w="2800"/>
            <w:tcMar>
              <w:top w:type="dxa" w:w="60"/>
              <w:bottom w:type="dxa" w:w="60"/>
            </w:tcMar>
          </w:tcPr>
          <w:p>
            <w:pPr>
              <w:spacing w:after="0" w:line="276"/>
            </w:pPr>
            <w:r>
              <w:rPr>
                <w:b/>
                <w:bCs/>
                <w:sz w:val="21"/>
                <w:szCs w:val="21"/>
              </w:rPr>
              <w:t xml:space="preserve">Repositorio</w:t>
            </w:r>
          </w:p>
        </w:tc>
        <w:tc>
          <w:tcPr>
            <w:tcW w:type="dxa" w:w="5000"/>
            <w:tcMar>
              <w:top w:type="dxa" w:w="60"/>
              <w:bottom w:type="dxa" w:w="60"/>
            </w:tcMar>
          </w:tcPr>
          <w:p>
            <w:pPr>
              <w:spacing w:after="0" w:line="276"/>
            </w:pPr>
            <w:r>
              <w:rPr>
                <w:sz w:val="21"/>
                <w:szCs w:val="21"/>
              </w:rPr>
              <w:t xml:space="preserve">[completar URL]</w:t>
            </w:r>
          </w:p>
        </w:tc>
      </w:tr>
    </w:tbl>
    <w:p>
      <w:r>
        <w:br w:type="page"/>
      </w:r>
    </w:p>
    <w:p>
      <w:pPr>
        <w:pStyle w:val="Heading1"/>
        <w:spacing w:after="180" w:before="360"/>
      </w:pPr>
      <w:r>
        <w:rPr>
          <w:b/>
          <w:bCs/>
          <w:color w:val="1F4E79"/>
          <w:sz w:val="30"/>
          <w:szCs w:val="30"/>
        </w:rPr>
        <w:t xml:space="preserve">Propósito del documento</w:t>
      </w:r>
    </w:p>
    <w:p>
      <w:pPr>
        <w:spacing w:after="120" w:line="276"/>
      </w:pPr>
      <w:r>
        <w:rPr>
          <w:sz w:val="22"/>
          <w:szCs w:val="22"/>
        </w:rPr>
        <w:t xml:space="preserve">Este diario registra las decisiones técnicas del equipo a lo largo del desarrollo del módulo, con énfasis en el uso de asistentes de inteligencia artificial: qué se consultó, qué se aceptó de la respuesta, qué se rechazó y por qué, qué hubo que corregir por ser incorrecto o incompleto, y qué se aprendió del proceso.</w:t>
      </w:r>
    </w:p>
    <w:p>
      <w:pPr>
        <w:spacing w:after="120" w:line="276"/>
      </w:pPr>
      <w:r>
        <w:rPr>
          <w:sz w:val="22"/>
          <w:szCs w:val="22"/>
        </w:rPr>
        <w:t xml:space="preserve">Conforme a la condición (d) de la ficha del proyecto, el documento equivale al 10% de la nota final y se evalúa según la rúbrica 4.3. Su función no es demostrar que se utilizó IA, sino evidenciar que el criterio técnico del equipo dirigió las decisiones del proyecto.</w:t>
      </w:r>
    </w:p>
    <w:p>
      <w:pPr>
        <w:spacing w:after="120" w:line="276"/>
      </w:pPr>
      <w:r>
        <w:rPr>
          <w:sz w:val="22"/>
          <w:szCs w:val="22"/>
        </w:rPr>
        <w:t xml:space="preserve">Las entradas se registran en el momento en que ocurren, no de forma retrospectiva. Cada una es contrastable contra el historial de commits del repositorio.</w:t>
      </w:r>
    </w:p>
    <w:p>
      <w:pPr>
        <w:pStyle w:val="Heading1"/>
        <w:spacing w:after="180" w:before="360"/>
      </w:pPr>
      <w:r>
        <w:rPr>
          <w:b/>
          <w:bCs/>
          <w:color w:val="1F4E79"/>
          <w:sz w:val="30"/>
          <w:szCs w:val="30"/>
        </w:rPr>
        <w:t xml:space="preserve">Convenciones de registro</w:t>
      </w:r>
    </w:p>
    <w:p>
      <w:pPr>
        <w:pStyle w:val="ListParagraph"/>
        <w:numPr>
          <w:ilvl w:val="0"/>
          <w:numId w:val="2"/>
        </w:numPr>
        <w:spacing w:after="80" w:line="276"/>
      </w:pPr>
      <w:r>
        <w:rPr>
          <w:sz w:val="22"/>
          <w:szCs w:val="22"/>
        </w:rPr>
        <w:t xml:space="preserve">Una entrada por decisión o incidencia relevante, en orden cronológico.</w:t>
      </w:r>
    </w:p>
    <w:p>
      <w:pPr>
        <w:pStyle w:val="ListParagraph"/>
        <w:numPr>
          <w:ilvl w:val="0"/>
          <w:numId w:val="2"/>
        </w:numPr>
        <w:spacing w:after="80" w:line="276"/>
      </w:pPr>
      <w:r>
        <w:rPr>
          <w:sz w:val="22"/>
          <w:szCs w:val="22"/>
        </w:rPr>
        <w:t xml:space="preserve">Toda entrada incluye contexto, consulta realizada, respuesta obtenida, criterio de aceptación o rechazo, y aprendizaje.</w:t>
      </w:r>
    </w:p>
    <w:p>
      <w:pPr>
        <w:pStyle w:val="ListParagraph"/>
        <w:numPr>
          <w:ilvl w:val="0"/>
          <w:numId w:val="2"/>
        </w:numPr>
        <w:spacing w:after="80" w:line="276"/>
      </w:pPr>
      <w:r>
        <w:rPr>
          <w:sz w:val="22"/>
          <w:szCs w:val="22"/>
        </w:rPr>
        <w:t xml:space="preserve">Los errores de la IA se registran con el detalle suficiente para verificarlos: mensaje original, diagnóstico erróneo, evidencia que lo desmintió y solución final.</w:t>
      </w:r>
    </w:p>
    <w:p>
      <w:pPr>
        <w:pStyle w:val="ListParagraph"/>
        <w:numPr>
          <w:ilvl w:val="0"/>
          <w:numId w:val="2"/>
        </w:numPr>
        <w:spacing w:after="80" w:line="276"/>
      </w:pPr>
      <w:r>
        <w:rPr>
          <w:sz w:val="22"/>
          <w:szCs w:val="22"/>
        </w:rPr>
        <w:t xml:space="preserve">Cuando una decisión produce un commit, se referencia su mensaje para permitir el contraste con el repositorio.</w:t>
      </w:r>
    </w:p>
    <w:p>
      <w:r>
        <w:br w:type="page"/>
      </w:r>
    </w:p>
    <w:p>
      <w:pPr>
        <w:pStyle w:val="Heading1"/>
        <w:spacing w:after="180" w:before="360"/>
      </w:pPr>
      <w:r>
        <w:rPr>
          <w:b/>
          <w:bCs/>
          <w:color w:val="1F4E79"/>
          <w:sz w:val="30"/>
          <w:szCs w:val="30"/>
        </w:rPr>
        <w:t xml:space="preserve">Registro de entradas</w:t>
      </w:r>
    </w:p>
    <w:p>
      <w:pPr>
        <w:pStyle w:val="Heading2"/>
        <w:spacing w:after="140" w:before="280"/>
      </w:pPr>
      <w:r>
        <w:rPr>
          <w:b/>
          <w:bCs/>
          <w:color w:val="1F4E79"/>
          <w:sz w:val="25"/>
          <w:szCs w:val="25"/>
        </w:rPr>
        <w:t xml:space="preserve">Entrada 01 — Configuración del entorno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31/07/2026 – 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Preparación del entorno (previo al primer avance)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80" w:line="276"/>
            </w:pPr>
            <w:r>
              <w:rPr>
                <w:sz w:val="22"/>
                <w:szCs w:val="22"/>
              </w:rPr>
              <w:t xml:space="preserve">Al intentar ejecutar comandos de Artisan sobre un proyecto Laravel clonado, el sistema falló al no encontrar vendor/autoload.php. El intento de resolverlo con composer install produjo un segundo error, esta vez durante la resolución de dependencias:</w:t>
            </w:r>
          </w:p>
          <w:p>
            <w:pPr>
              <w:spacing w:after="60" w:line="240"/>
              <w:ind w:left="360"/>
            </w:pPr>
            <w:r>
              <w:rPr>
                <w:rFonts w:ascii="Consolas" w:cs="Consolas" w:eastAsia="Consolas" w:hAnsi="Consolas"/>
                <w:sz w:val="19"/>
                <w:szCs w:val="19"/>
              </w:rPr>
              <w:t xml:space="preserve">Invalid package found during dependency resolution,</w:t>
            </w:r>
          </w:p>
          <w:p>
            <w:pPr>
              <w:spacing w:after="60" w:line="240"/>
              <w:ind w:left="360"/>
            </w:pPr>
            <w:r>
              <w:rPr>
                <w:rFonts w:ascii="Consolas" w:cs="Consolas" w:eastAsia="Consolas" w:hAnsi="Consolas"/>
                <w:sz w:val="19"/>
                <w:szCs w:val="19"/>
              </w:rPr>
              <w:t xml:space="preserve">aborting: lib-curl-schannel</w:t>
            </w:r>
          </w:p>
          <w:p>
            <w:pPr>
              <w:spacing w:after="60" w:line="240"/>
              <w:ind w:left="360"/>
            </w:pPr>
            <w:r>
              <w:rPr>
                <w:rFonts w:ascii="Consolas" w:cs="Consolas" w:eastAsia="Consolas" w:hAnsi="Consolas"/>
                <w:sz w:val="19"/>
                <w:szCs w:val="19"/>
              </w:rPr>
              <w:t xml:space="preserve">zlib version =&gt; 1.3.1</w:t>
            </w:r>
          </w:p>
          <w:p>
            <w:pPr>
              <w:spacing w:after="60" w:line="240"/>
              <w:ind w:left="360"/>
            </w:pPr>
            <w:r>
              <w:rPr>
                <w:rFonts w:ascii="Consolas" w:cs="Consolas" w:eastAsia="Consolas" w:hAnsi="Consolas"/>
                <w:sz w:val="19"/>
                <w:szCs w:val="19"/>
              </w:rPr>
              <w:t xml:space="preserve">libssh version =&gt; libssh2 is invalid...</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le presentó el mensaje de error completo y se le pidió identificar la causa y la solución. La consulta se repitió en cuatro rondas, aportando en cada una la salida de los comandos de diagnóstico que la propia IA solicitaba.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Respuestas obtenidas</w:t>
            </w:r>
          </w:p>
        </w:tc>
        <w:tc>
          <w:tcPr>
            <w:tcW w:type="dxa" w:w="6960"/>
            <w:tcMar>
              <w:top w:type="dxa" w:w="80"/>
              <w:left w:type="dxa" w:w="120"/>
              <w:bottom w:type="dxa" w:w="80"/>
              <w:right w:type="dxa" w:w="120"/>
            </w:tcMar>
          </w:tcPr>
          <w:p>
            <w:pPr>
              <w:spacing w:after="60" w:line="276"/>
            </w:pPr>
            <w:r>
              <w:rPr>
                <w:sz w:val="22"/>
                <w:szCs w:val="22"/>
              </w:rPr>
              <w:t xml:space="preserve">1. Primer diagnóstico: la extensión cURL de PHP estaba mal instalada; se recomendó reinstalar PHP por completo o migrar a Laravel Herd.</w:t>
            </w:r>
          </w:p>
          <w:p>
            <w:pPr>
              <w:spacing w:after="60" w:line="276"/>
            </w:pPr>
            <w:r>
              <w:rPr>
                <w:sz w:val="22"/>
                <w:szCs w:val="22"/>
              </w:rPr>
              <w:t xml:space="preserve">2. Segundo diagnóstico: existían dos instalaciones de PHP en conflicto (C:\php y herd-lite), y cada terminal tomaba una distinta.</w:t>
            </w:r>
          </w:p>
          <w:p>
            <w:pPr>
              <w:spacing w:after="60" w:line="276"/>
            </w:pPr>
            <w:r>
              <w:rPr>
                <w:sz w:val="22"/>
                <w:szCs w:val="22"/>
              </w:rPr>
              <w:t xml:space="preserve">3. Tercer diagnóstico: la IA se retractó del anterior y afirmó que C:\php no existía, interpretando el include_path del error como un valor por defecto del binario.</w:t>
            </w:r>
          </w:p>
          <w:p>
            <w:pPr>
              <w:spacing w:after="0" w:line="276"/>
            </w:pPr>
            <w:r>
              <w:rPr>
                <w:sz w:val="22"/>
                <w:szCs w:val="22"/>
              </w:rPr>
              <w:t xml:space="preserve">4. Cuarto diagnóstico: se afirmó que el bug ya estaba corregido en Composer 2.10.2 y bastaba con actualizar.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80" w:line="276"/>
            </w:pPr>
            <w:r>
              <w:rPr>
                <w:sz w:val="22"/>
                <w:szCs w:val="22"/>
              </w:rPr>
              <w:t xml:space="preserve">Únicamente la recomendación de ejecutar comandos de verificación antes de aplicar cualquier solución: which php, which composer, ls /c/php y la introspección de la extensión cURL.</w:t>
            </w:r>
          </w:p>
          <w:p>
            <w:pPr>
              <w:spacing w:after="60" w:line="240"/>
              <w:ind w:left="360"/>
            </w:pPr>
            <w:r>
              <w:rPr>
                <w:rFonts w:ascii="Consolas" w:cs="Consolas" w:eastAsia="Consolas" w:hAnsi="Consolas"/>
                <w:sz w:val="19"/>
                <w:szCs w:val="19"/>
              </w:rPr>
              <w:t xml:space="preserve">php -r "(new ReflectionExtension('curl'))-&gt;info();"</w:t>
            </w:r>
          </w:p>
          <w:p>
            <w:pPr>
              <w:spacing w:after="0" w:line="276"/>
            </w:pPr>
            <w:r>
              <w:rPr>
                <w:sz w:val="22"/>
                <w:szCs w:val="22"/>
              </w:rPr>
              <w:t xml:space="preserve">También se aceptó el diagnóstico final, una vez que la IA localizó el reporte oficial del bug en el repositorio de Composer (issue #12615) y la solución verificada: bajar Composer a la serie 2.8, anterior a la regresión.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rechazó y por qué</w:t>
            </w:r>
          </w:p>
        </w:tc>
        <w:tc>
          <w:tcPr>
            <w:tcW w:type="dxa" w:w="6960"/>
            <w:tcMar>
              <w:top w:type="dxa" w:w="80"/>
              <w:left w:type="dxa" w:w="120"/>
              <w:bottom w:type="dxa" w:w="80"/>
              <w:right w:type="dxa" w:w="120"/>
            </w:tcMar>
          </w:tcPr>
          <w:p>
            <w:pPr>
              <w:spacing w:after="60" w:line="276"/>
            </w:pPr>
            <w:r>
              <w:rPr>
                <w:sz w:val="22"/>
                <w:szCs w:val="22"/>
              </w:rPr>
              <w:t xml:space="preserve">Se rechazó la primera recomendación (reinstalar PHP). La salida de curl_version() mostraba la extensión funcionando correctamente: SSL activo, HTTP2 activo, 26 protocolos soportados. Reinstalar PHP habría consumido varias horas sin atacar la causa real.</w:t>
            </w:r>
          </w:p>
          <w:p>
            <w:pPr>
              <w:spacing w:after="60" w:line="276"/>
            </w:pPr>
            <w:r>
              <w:rPr>
                <w:sz w:val="22"/>
                <w:szCs w:val="22"/>
              </w:rPr>
              <w:t xml:space="preserve">Se rechazó la tercera respuesta (que C:\php no existía) porque el comando ls demostró lo contrario de forma inmediata.</w:t>
            </w:r>
          </w:p>
          <w:p>
            <w:pPr>
              <w:spacing w:after="0" w:line="276"/>
            </w:pPr>
            <w:r>
              <w:rPr>
                <w:sz w:val="22"/>
                <w:szCs w:val="22"/>
              </w:rPr>
              <w:t xml:space="preserve">Se rechazó la cuarta respuesta (actualizar Composer) porque el error se reprodujo de forma idéntica con la versión 2.10.2 ya instalada.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Errores de la IA detectados</w:t>
            </w:r>
          </w:p>
        </w:tc>
        <w:tc>
          <w:tcPr>
            <w:tcW w:type="dxa" w:w="6960"/>
            <w:tcMar>
              <w:top w:type="dxa" w:w="80"/>
              <w:left w:type="dxa" w:w="120"/>
              <w:bottom w:type="dxa" w:w="80"/>
              <w:right w:type="dxa" w:w="120"/>
            </w:tcMar>
          </w:tcPr>
          <w:p>
            <w:pPr>
              <w:spacing w:after="60" w:line="276"/>
            </w:pPr>
            <w:r>
              <w:rPr>
                <w:sz w:val="22"/>
                <w:szCs w:val="22"/>
              </w:rPr>
              <w:t xml:space="preserve">Cuatro diagnósticos incorrectos consecutivos sobre el mismo problema:</w:t>
            </w:r>
          </w:p>
          <w:p>
            <w:pPr>
              <w:pStyle w:val="ListParagraph"/>
              <w:numPr>
                <w:ilvl w:val="0"/>
                <w:numId w:val="2"/>
              </w:numPr>
              <w:spacing w:after="80" w:line="276"/>
            </w:pPr>
            <w:r>
              <w:rPr>
                <w:sz w:val="22"/>
                <w:szCs w:val="22"/>
              </w:rPr>
              <w:t xml:space="preserve">Atribuir a una instalación defectuosa de PHP un error cuya salida de diagnóstico demostraba que PHP funcionaba bien.</w:t>
            </w:r>
          </w:p>
          <w:p>
            <w:pPr>
              <w:pStyle w:val="ListParagraph"/>
              <w:numPr>
                <w:ilvl w:val="0"/>
                <w:numId w:val="2"/>
              </w:numPr>
              <w:spacing w:after="80" w:line="276"/>
            </w:pPr>
            <w:r>
              <w:rPr>
                <w:sz w:val="22"/>
                <w:szCs w:val="22"/>
              </w:rPr>
              <w:t xml:space="preserve">Interpretar el include_path por defecto (.;C:\php\pear) como evidencia de una instalación previa, sin verificarlo.</w:t>
            </w:r>
          </w:p>
          <w:p>
            <w:pPr>
              <w:pStyle w:val="ListParagraph"/>
              <w:numPr>
                <w:ilvl w:val="0"/>
                <w:numId w:val="2"/>
              </w:numPr>
              <w:spacing w:after="80" w:line="276"/>
            </w:pPr>
            <w:r>
              <w:rPr>
                <w:sz w:val="22"/>
                <w:szCs w:val="22"/>
              </w:rPr>
              <w:t xml:space="preserve">Retractarse de una hipótesis correcta y sustituirla por una peor, basándose en razonamiento en lugar de verificación.</w:t>
            </w:r>
          </w:p>
          <w:p>
            <w:pPr>
              <w:pStyle w:val="ListParagraph"/>
              <w:numPr>
                <w:ilvl w:val="0"/>
                <w:numId w:val="2"/>
              </w:numPr>
              <w:spacing w:after="80" w:line="276"/>
            </w:pPr>
            <w:r>
              <w:rPr>
                <w:sz w:val="22"/>
                <w:szCs w:val="22"/>
              </w:rPr>
              <w:t xml:space="preserve">Afirmar que el bug estaba corregido en la versión 2.10.2 sin haberlo comprobado; el error se reprodujo con esa misma versión instalada.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Causa real y solución aplicada</w:t>
            </w:r>
          </w:p>
        </w:tc>
        <w:tc>
          <w:tcPr>
            <w:tcW w:type="dxa" w:w="6960"/>
            <w:tcMar>
              <w:top w:type="dxa" w:w="80"/>
              <w:left w:type="dxa" w:w="120"/>
              <w:bottom w:type="dxa" w:w="80"/>
              <w:right w:type="dxa" w:w="120"/>
            </w:tcMar>
          </w:tcPr>
          <w:p>
            <w:pPr>
              <w:spacing w:after="80" w:line="276"/>
            </w:pPr>
            <w:r>
              <w:rPr>
                <w:sz w:val="22"/>
                <w:szCs w:val="22"/>
              </w:rPr>
              <w:t xml:space="preserve">Regresión conocida de Composer en Windows, reportada como issue #12615 del repositorio composer/composer. Composer construye sus paquetes de plataforma leyendo la información de la extensión cURL. Cuando el backend SSL es Schannel (el nativo de Windows) en lugar de OpenSSL, el valor no sigue el formato Nombre/Versión esperado y el parser arrastra las dos líneas siguientes de la salida, generando un nombre de paquete inválido.</w:t>
            </w:r>
          </w:p>
          <w:p>
            <w:pPr>
              <w:spacing w:after="60" w:line="276"/>
            </w:pPr>
            <w:r>
              <w:rPr>
                <w:sz w:val="22"/>
                <w:szCs w:val="22"/>
              </w:rPr>
              <w:t xml:space="preserve">Verificación en la máquina del equipo:</w:t>
            </w:r>
          </w:p>
          <w:p>
            <w:pPr>
              <w:spacing w:after="60" w:line="240"/>
              <w:ind w:left="360"/>
            </w:pPr>
            <w:r>
              <w:rPr>
                <w:rFonts w:ascii="Consolas" w:cs="Consolas" w:eastAsia="Consolas" w:hAnsi="Consolas"/>
                <w:sz w:val="19"/>
                <w:szCs w:val="19"/>
              </w:rPr>
              <w:t xml:space="preserve">SSL Version   =&gt; Schannel</w:t>
            </w:r>
          </w:p>
          <w:p>
            <w:pPr>
              <w:spacing w:after="60" w:line="240"/>
              <w:ind w:left="360"/>
            </w:pPr>
            <w:r>
              <w:rPr>
                <w:rFonts w:ascii="Consolas" w:cs="Consolas" w:eastAsia="Consolas" w:hAnsi="Consolas"/>
                <w:sz w:val="19"/>
                <w:szCs w:val="19"/>
              </w:rPr>
              <w:t xml:space="preserve">ZLib Version  =&gt; 1.3.1</w:t>
            </w:r>
          </w:p>
          <w:p>
            <w:pPr>
              <w:spacing w:after="60" w:line="240"/>
              <w:ind w:left="360"/>
            </w:pPr>
            <w:r>
              <w:rPr>
                <w:rFonts w:ascii="Consolas" w:cs="Consolas" w:eastAsia="Consolas" w:hAnsi="Consolas"/>
                <w:sz w:val="19"/>
                <w:szCs w:val="19"/>
              </w:rPr>
              <w:t xml:space="preserve">libSSH Version =&gt; libssh2/1.11.1</w:t>
            </w:r>
          </w:p>
          <w:p>
            <w:pPr>
              <w:spacing w:after="80" w:line="276"/>
            </w:pPr>
            <w:r>
              <w:rPr>
                <w:sz w:val="22"/>
                <w:szCs w:val="22"/>
              </w:rPr>
              <w:t xml:space="preserve">El nombre de paquete que Composer intentaba resolver reproducía exactamente esas tres líneas concatenadas. El bug afecta a las versiones 2.9.x y 2.10.x, y no está presente en la serie 2.8.</w:t>
            </w:r>
          </w:p>
          <w:p>
            <w:pPr>
              <w:spacing w:after="60" w:line="276"/>
            </w:pPr>
            <w:r>
              <w:rPr>
                <w:sz w:val="22"/>
                <w:szCs w:val="22"/>
              </w:rPr>
              <w:t xml:space="preserve">Solución aplicada:</w:t>
            </w:r>
          </w:p>
          <w:p>
            <w:pPr>
              <w:spacing w:after="60" w:line="240"/>
              <w:ind w:left="360"/>
            </w:pPr>
            <w:r>
              <w:rPr>
                <w:rFonts w:ascii="Consolas" w:cs="Consolas" w:eastAsia="Consolas" w:hAnsi="Consolas"/>
                <w:sz w:val="19"/>
                <w:szCs w:val="19"/>
              </w:rPr>
              <w:t xml:space="preserve">composer self-update 2.8.12</w:t>
            </w:r>
          </w:p>
          <w:p>
            <w:pPr>
              <w:spacing w:after="0" w:line="276"/>
            </w:pPr>
            <w:r>
              <w:rPr>
                <w:sz w:val="22"/>
                <w:szCs w:val="22"/>
              </w:rPr>
              <w:t xml:space="preserve">Ejecutado desde PowerShell con privilegios de administrador, ya que Composer reside en C:\ProgramData. Tras el cambio, composer create-project completó sin errores.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80" w:line="276"/>
            </w:pPr>
            <w:r>
              <w:rPr>
                <w:sz w:val="22"/>
                <w:szCs w:val="22"/>
              </w:rPr>
              <w:t xml:space="preserve">El hallazgo central de esta entrada no es técnico sino metodológico: la IA produjo cuatro explicaciones distintas, todas plausibles y expresadas con el mismo grado de seguridad, y ninguna era correcta. Lo que resolvió el problema no fue reformular la pregunta ni pedir un mejor razonamiento, sino exigir verificación empírica —ejecutar comandos y contrastar la salida— y finalmente localizar el reporte oficial del bug.</w:t>
            </w:r>
          </w:p>
          <w:p>
            <w:pPr>
              <w:spacing w:after="80" w:line="276"/>
            </w:pPr>
            <w:r>
              <w:rPr>
                <w:sz w:val="22"/>
                <w:szCs w:val="22"/>
              </w:rPr>
              <w:t xml:space="preserve">De aquí se derivó una regla de trabajo para el resto del proyecto: ningún diagnóstico de la IA se aplica si implica una acción costosa o irreversible (reinstalar, borrar, reescribir) sin antes ejecutar un comando barato que lo confirme o lo descarte.</w:t>
            </w:r>
          </w:p>
          <w:p>
            <w:pPr>
              <w:spacing w:after="0" w:line="276"/>
            </w:pPr>
            <w:r>
              <w:rPr>
                <w:sz w:val="22"/>
                <w:szCs w:val="22"/>
              </w:rPr>
              <w:t xml:space="preserve">Consecuencia adicional: se descartó trabajar dentro de OneDrive. La sincronización automática de las carpetas vendor/ y node_modules/, que contienen decenas de miles de archivos pequeños, bloquea archivos durante la escritura y genera fallos intermitentes difíciles de diagnosticar. El proyecto se ubicó en C:\dev\solicitudes-estudiantiles.</w:t>
            </w:r>
          </w:p>
        </w:tc>
      </w:tr>
    </w:tbl>
    <w:p>
      <w:pPr>
        <w:spacing w:after="200"/>
      </w:pPr>
    </w:p>
    <w:p>
      <w:pPr>
        <w:pStyle w:val="Heading2"/>
        <w:spacing w:after="140" w:before="280"/>
      </w:pPr>
      <w:r>
        <w:rPr>
          <w:b/>
          <w:bCs/>
          <w:color w:val="1F4E79"/>
          <w:sz w:val="25"/>
          <w:szCs w:val="25"/>
        </w:rPr>
        <w:t xml:space="preserve">Entrada 02 — Arquitectura del primer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60" w:line="276"/>
            </w:pPr>
            <w:r>
              <w:rPr>
                <w:sz w:val="22"/>
                <w:szCs w:val="22"/>
              </w:rPr>
              <w:t xml:space="preserve">La ficha del proyecto exige que toda la lógica de dominio se organice bajo Arquitectura Hexagonal (Ports &amp; Adapters) y DDD, con la condición de que el paquete de dominio no importe clases de Laravel, Livewire ni Alpine.js.</w:t>
            </w:r>
          </w:p>
          <w:p>
            <w:pPr>
              <w:spacing w:after="0" w:line="276"/>
            </w:pPr>
            <w:r>
              <w:rPr>
                <w:sz w:val="22"/>
                <w:szCs w:val="22"/>
              </w:rPr>
              <w:t xml:space="preserve">El primer entregable, sin embargo, se limita a models, factories, migrations y seeders. El equipo aún no ha cubierto arquitectura hexagonal en clase.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solicitó una guía para estructurar el proyecto desde cero conforme a los requerimientos de la ficha.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Respuesta de la IA</w:t>
            </w:r>
          </w:p>
        </w:tc>
        <w:tc>
          <w:tcPr>
            <w:tcW w:type="dxa" w:w="6960"/>
            <w:tcMar>
              <w:top w:type="dxa" w:w="80"/>
              <w:left w:type="dxa" w:w="120"/>
              <w:bottom w:type="dxa" w:w="80"/>
              <w:right w:type="dxa" w:w="120"/>
            </w:tcMar>
          </w:tcPr>
          <w:p>
            <w:pPr>
              <w:spacing w:after="0" w:line="276"/>
            </w:pPr>
            <w:r>
              <w:rPr>
                <w:sz w:val="22"/>
                <w:szCs w:val="22"/>
              </w:rPr>
              <w:t xml:space="preserve">La IA propuso crear de inmediato una carpeta src/ con namespace PSR-4 propio (Utn\Solicitudes\), separada de app/, con subcarpetas Dominio, Aplicacion e Infraestructura, y argumentó que montar esa frontera antes de escribir código es mucho más barato que extraerla después.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2"/>
                <w:szCs w:val="22"/>
              </w:rPr>
              <w:t xml:space="preserve">Se aceptó el argumento de fondo: la separación es más barata de establecer al inicio que de refactorizar más adelante, y se mantiene como objetivo para una fase posterior del proyecto.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rechazó y por qué</w:t>
            </w:r>
          </w:p>
        </w:tc>
        <w:tc>
          <w:tcPr>
            <w:tcW w:type="dxa" w:w="6960"/>
            <w:tcMar>
              <w:top w:type="dxa" w:w="80"/>
              <w:left w:type="dxa" w:w="120"/>
              <w:bottom w:type="dxa" w:w="80"/>
              <w:right w:type="dxa" w:w="120"/>
            </w:tcMar>
          </w:tcPr>
          <w:p>
            <w:pPr>
              <w:spacing w:after="80" w:line="276"/>
            </w:pPr>
            <w:r>
              <w:rPr>
                <w:sz w:val="22"/>
                <w:szCs w:val="22"/>
              </w:rPr>
              <w:t xml:space="preserve">Se rechazó implementarla en este avance. La defensa oral evalúa la capacidad de explicar y justificar las decisiones de arquitectura sin apoyarse en el código. Adoptar una estructura que el equipo aún no comprende produciría un proyecto formalmente correcto pero indefendible: cualquier pregunta del docente sobre por qué una clase está en Dominio y no en Infraestructura quedaría sin respuesta propia.</w:t>
            </w:r>
          </w:p>
          <w:p>
            <w:pPr>
              <w:spacing w:after="0" w:line="276"/>
            </w:pPr>
            <w:r>
              <w:rPr>
                <w:sz w:val="22"/>
                <w:szCs w:val="22"/>
              </w:rPr>
              <w:t xml:space="preserve">La rúbrica penaliza explícitamente atribuir las decisiones de diseño a la IA sin poder justificarlas. Se optó por Laravel estándar (app/Models) para este avance y por introducir la separación cuando el tema se haya cubierto en clase.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Una recomendación técnicamente sólida puede ser inadecuada según el contexto de quien la va a sostener. La IA optimizó por corrección arquitectónica; el equipo optimizó por capacidad de defender lo construido. El criterio de decisión no fue cuál diseño es mejor en abstracto, sino cuál puede explicarse y modificarse en vivo.</w:t>
            </w:r>
          </w:p>
        </w:tc>
      </w:tr>
    </w:tbl>
    <w:p>
      <w:pPr>
        <w:spacing w:after="200"/>
      </w:pPr>
    </w:p>
    <w:p>
      <w:pPr>
        <w:pStyle w:val="Heading2"/>
        <w:spacing w:after="140" w:before="280"/>
      </w:pPr>
      <w:r>
        <w:rPr>
          <w:b/>
          <w:bCs/>
          <w:color w:val="1F4E79"/>
          <w:sz w:val="25"/>
          <w:szCs w:val="25"/>
        </w:rPr>
        <w:t xml:space="preserve">Entrada 03 — Convenciones de código y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La rúbrica de funcionalidad exige un repositorio Git documentado con historial de commits legible. "Legible" es un criterio subjetivo salvo que se adopte un estándar verificable.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60" w:line="276"/>
            </w:pPr>
            <w:r>
              <w:rPr>
                <w:sz w:val="22"/>
                <w:szCs w:val="22"/>
              </w:rPr>
              <w:t xml:space="preserve">Se adoptaron dos convenciones de forma obligatoria y sin excepciones:</w:t>
            </w:r>
          </w:p>
          <w:p>
            <w:pPr>
              <w:pStyle w:val="ListParagraph"/>
              <w:numPr>
                <w:ilvl w:val="0"/>
                <w:numId w:val="2"/>
              </w:numPr>
              <w:spacing w:after="80" w:line="276"/>
            </w:pPr>
            <w:r>
              <w:rPr>
                <w:sz w:val="22"/>
                <w:szCs w:val="22"/>
              </w:rPr>
              <w:t xml:space="preserve">Conventional Commits para todos los mensajes de commit.</w:t>
            </w:r>
          </w:p>
          <w:p>
            <w:pPr>
              <w:pStyle w:val="ListParagraph"/>
              <w:numPr>
                <w:ilvl w:val="0"/>
                <w:numId w:val="2"/>
              </w:numPr>
              <w:spacing w:after="80" w:line="276"/>
            </w:pPr>
            <w:r>
              <w:rPr>
                <w:sz w:val="22"/>
                <w:szCs w:val="22"/>
              </w:rPr>
              <w:t xml:space="preserve">Inglés como idioma único del código: clases, métodos, variables, tablas y columnas.</w:t>
            </w:r>
          </w:p>
          <w:p>
            <w:pPr>
              <w:spacing w:after="60" w:line="276"/>
            </w:pPr>
            <w:r>
              <w:rPr>
                <w:sz w:val="22"/>
                <w:szCs w:val="22"/>
              </w:rPr>
              <w:t xml:space="preserve">Formato adoptado: type(scope): description, con descripción en imperativo y minúscula.</w:t>
            </w:r>
          </w:p>
          <w:p>
            <w:pPr>
              <w:spacing w:after="60" w:line="240"/>
              <w:ind w:left="360"/>
            </w:pPr>
            <w:r>
              <w:rPr>
                <w:rFonts w:ascii="Consolas" w:cs="Consolas" w:eastAsia="Consolas" w:hAnsi="Consolas"/>
                <w:sz w:val="19"/>
                <w:szCs w:val="19"/>
              </w:rPr>
              <w:t xml:space="preserve">feat(rules-engine): add minimum grade rule evaluator</w:t>
            </w:r>
          </w:p>
          <w:p>
            <w:pPr>
              <w:spacing w:after="60" w:line="240"/>
              <w:ind w:left="360"/>
            </w:pPr>
            <w:r>
              <w:rPr>
                <w:rFonts w:ascii="Consolas" w:cs="Consolas" w:eastAsia="Consolas" w:hAnsi="Consolas"/>
                <w:sz w:val="19"/>
                <w:szCs w:val="19"/>
              </w:rPr>
              <w:t xml:space="preserve">fix(tracking): assign default deadline after 24h</w:t>
            </w:r>
          </w:p>
          <w:p>
            <w:pPr>
              <w:spacing w:after="60" w:line="240"/>
              <w:ind w:left="360"/>
            </w:pPr>
            <w:r>
              <w:rPr>
                <w:rFonts w:ascii="Consolas" w:cs="Consolas" w:eastAsia="Consolas" w:hAnsi="Consolas"/>
                <w:sz w:val="19"/>
                <w:szCs w:val="19"/>
              </w:rPr>
              <w:t xml:space="preserve">test(requests): cover duplicate waiver detection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Origen de la decisión</w:t>
            </w:r>
          </w:p>
        </w:tc>
        <w:tc>
          <w:tcPr>
            <w:tcW w:type="dxa" w:w="6960"/>
            <w:tcMar>
              <w:top w:type="dxa" w:w="80"/>
              <w:left w:type="dxa" w:w="120"/>
              <w:bottom w:type="dxa" w:w="80"/>
              <w:right w:type="dxa" w:w="120"/>
            </w:tcMar>
          </w:tcPr>
          <w:p>
            <w:pPr>
              <w:spacing w:after="0" w:line="276"/>
            </w:pPr>
            <w:r>
              <w:rPr>
                <w:sz w:val="22"/>
                <w:szCs w:val="22"/>
              </w:rPr>
              <w:t xml:space="preserve">La convención fue decisión del equipo, no sugerencia de la IA. Se le pidió posteriormente que propusiera los scopes adecuados al dominio del proyecto.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2"/>
                <w:szCs w:val="22"/>
              </w:rPr>
              <w:t xml:space="preserve">Se aceptaron los scopes propuestos por la IA por estar alineados con los requerimientos del SRS, lo que permite leer el historial de Git contra la especificación: rules-engine, requests, validations, tracking, inbox, auth, api, ui, domain.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Discrepancia registrada</w:t>
            </w:r>
          </w:p>
        </w:tc>
        <w:tc>
          <w:tcPr>
            <w:tcW w:type="dxa" w:w="6960"/>
            <w:tcMar>
              <w:top w:type="dxa" w:w="80"/>
              <w:left w:type="dxa" w:w="120"/>
              <w:bottom w:type="dxa" w:w="80"/>
              <w:right w:type="dxa" w:w="120"/>
            </w:tcMar>
          </w:tcPr>
          <w:p>
            <w:pPr>
              <w:spacing w:after="60" w:line="276"/>
            </w:pPr>
            <w:r>
              <w:rPr>
                <w:sz w:val="22"/>
                <w:szCs w:val="22"/>
              </w:rPr>
              <w:t xml:space="preserve">La IA planteó que, siendo DDD y con defensa oral en español, el lenguaje ubicuo del dominio debía conservarse en español (levantamiento, convalidación, expediente, plan terminal) para evitar la traducción mental entre la especificación y el código.</w:t>
            </w:r>
          </w:p>
          <w:p>
            <w:pPr>
              <w:spacing w:after="0" w:line="276"/>
            </w:pPr>
            <w:r>
              <w:rPr>
                <w:sz w:val="22"/>
                <w:szCs w:val="22"/>
              </w:rPr>
              <w:t xml:space="preserve">El equipo rechazó ese planteamiento y optó por inglés íntegro, priorizando la consistencia con las convenciones del framework y la práctica profesional. Se asume el costo de mantener un glosario de correspondencias para la defensa.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Fue el primer caso en que el equipo tomó una decisión de diseño en contra de una recomendación argumentada de la IA. El argumento de la IA era válido en el marco de DDD, pero el equipo priorizó un criterio distinto. Queda registrado el costo aceptado: la necesidad de un glosario español–inglés para la defensa oral.</w:t>
            </w:r>
          </w:p>
        </w:tc>
      </w:tr>
    </w:tbl>
    <w:p>
      <w:pPr>
        <w:spacing w:after="200"/>
      </w:pPr>
    </w:p>
    <w:p>
      <w:pPr>
        <w:pStyle w:val="Heading2"/>
        <w:spacing w:after="140" w:before="280"/>
      </w:pPr>
      <w:r>
        <w:rPr>
          <w:b/>
          <w:bCs/>
          <w:color w:val="1F4E79"/>
          <w:sz w:val="25"/>
          <w:szCs w:val="25"/>
        </w:rPr>
        <w:t xml:space="preserve">Entrada 04 — Motor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Laravel 13 configura SQLite por defecto: el instalador crea database/database.sqlite y ejecuta las migraciones iniciales sin intervención del usuario. El curso, sin embargo, trabaja con MySQL.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2"/>
                <w:szCs w:val="22"/>
              </w:rPr>
              <w:t xml:space="preserve">Se optó por MySQL, alineándose con lo trabajado en clase, pese a que SQLite habría simplificado la puesta en marcha del entorno para los tres integrantes.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Riesgo identificado</w:t>
            </w:r>
          </w:p>
        </w:tc>
        <w:tc>
          <w:tcPr>
            <w:tcW w:type="dxa" w:w="6960"/>
            <w:tcMar>
              <w:top w:type="dxa" w:w="80"/>
              <w:left w:type="dxa" w:w="120"/>
              <w:bottom w:type="dxa" w:w="80"/>
              <w:right w:type="dxa" w:w="120"/>
            </w:tcMar>
          </w:tcPr>
          <w:p>
            <w:pPr>
              <w:spacing w:after="0" w:line="276"/>
            </w:pPr>
            <w:r>
              <w:rPr>
                <w:sz w:val="22"/>
                <w:szCs w:val="22"/>
              </w:rPr>
              <w:t xml:space="preserve">La estandarización de la base de datos definida en clase aún no está incorporada: uno de los integrantes no pudo asistir a esa sesión y la grabación no está disponible. Las migraciones de este avance se construyen sobre el modelo derivado del SRS y deberán contrastarse con el estándar del curso cuando esté accesible.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Mitigación</w:t>
            </w:r>
          </w:p>
        </w:tc>
        <w:tc>
          <w:tcPr>
            <w:tcW w:type="dxa" w:w="6960"/>
            <w:tcMar>
              <w:top w:type="dxa" w:w="80"/>
              <w:left w:type="dxa" w:w="120"/>
              <w:bottom w:type="dxa" w:w="80"/>
              <w:right w:type="dxa" w:w="120"/>
            </w:tcMar>
          </w:tcPr>
          <w:p>
            <w:pPr>
              <w:spacing w:after="0" w:line="276"/>
            </w:pPr>
            <w:r>
              <w:rPr>
                <w:sz w:val="22"/>
                <w:szCs w:val="22"/>
              </w:rPr>
              <w:t xml:space="preserve">Se decidió construir el esquema íntegramente mediante migraciones versionadas, sin modificar la base de datos desde ninguna herramienta gráfica. Cualquier ajuste posterior al estándar del curso se aplicará como una migración nueva, dejando el cambio registrado en el historial de Git en lugar de sobrescribir el esquema en silencio.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Documentar un supuesto pendiente de confirmación es preferible a asumirlo como resuelto. El esquema de este avance es explícitamente provisional, y esa condición queda registrada antes de escribir la primera migración.</w:t>
            </w:r>
          </w:p>
        </w:tc>
      </w:tr>
    </w:tbl>
    <w:p>
      <w:pPr>
        <w:spacing w:after="200"/>
      </w:pPr>
    </w:p>
    <w:p>
      <w:pPr>
        <w:pStyle w:val="Heading2"/>
        <w:spacing w:after="140" w:before="280"/>
      </w:pPr>
      <w:r>
        <w:rPr>
          <w:b/>
          <w:bCs/>
          <w:color w:val="1F4E79"/>
          <w:sz w:val="25"/>
          <w:szCs w:val="25"/>
        </w:rPr>
        <w:t xml:space="preserve">Entrada 05 — Instalación del servidor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60" w:line="276"/>
            </w:pPr>
            <w:r>
              <w:rPr>
                <w:sz w:val="22"/>
                <w:szCs w:val="22"/>
              </w:rPr>
              <w:t xml:space="preserve">Tras decidir MySQL como motor, el comando mysql --version devolvió "command not found". La IA concluyó que MySQL no estaba instalado y entregó una guía completa de instalación desde cero.</w:t>
            </w:r>
          </w:p>
          <w:p>
            <w:pPr>
              <w:spacing w:after="0" w:line="276"/>
            </w:pPr>
            <w:r>
              <w:rPr>
                <w:sz w:val="22"/>
                <w:szCs w:val="22"/>
              </w:rPr>
              <w:t xml:space="preserve">Al abrir el instalador oficial, este reportó una instalación previa (versión 8.0.47) y ofreció las opciones Add, Modify, Upgrade y Remove.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le informó de la instalación existente y de las opciones ofrecidas por el instalador, sin ejecutar ninguna.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Respuesta de la IA</w:t>
            </w:r>
          </w:p>
        </w:tc>
        <w:tc>
          <w:tcPr>
            <w:tcW w:type="dxa" w:w="6960"/>
            <w:tcMar>
              <w:top w:type="dxa" w:w="80"/>
              <w:left w:type="dxa" w:w="120"/>
              <w:bottom w:type="dxa" w:w="80"/>
              <w:right w:type="dxa" w:w="120"/>
            </w:tcMar>
          </w:tcPr>
          <w:p>
            <w:pPr>
              <w:spacing w:after="60" w:line="276"/>
            </w:pPr>
            <w:r>
              <w:rPr>
                <w:sz w:val="22"/>
                <w:szCs w:val="22"/>
              </w:rPr>
              <w:t xml:space="preserve">Recomendó cerrar el instalador sin elegir ninguna opción y verificar primero qué componentes existían realmente, mediante:</w:t>
            </w:r>
          </w:p>
          <w:p>
            <w:pPr>
              <w:spacing w:after="60" w:line="240"/>
              <w:ind w:left="360"/>
            </w:pPr>
            <w:r>
              <w:rPr>
                <w:rFonts w:ascii="Consolas" w:cs="Consolas" w:eastAsia="Consolas" w:hAnsi="Consolas"/>
                <w:sz w:val="19"/>
                <w:szCs w:val="19"/>
              </w:rPr>
              <w:t xml:space="preserve">ls "/c/Program Files/MySQL"</w:t>
            </w:r>
          </w:p>
          <w:p>
            <w:pPr>
              <w:spacing w:after="60" w:line="240"/>
              <w:ind w:left="360"/>
            </w:pPr>
            <w:r>
              <w:rPr>
                <w:rFonts w:ascii="Consolas" w:cs="Consolas" w:eastAsia="Consolas" w:hAnsi="Consolas"/>
                <w:sz w:val="19"/>
                <w:szCs w:val="19"/>
              </w:rPr>
              <w:t xml:space="preserve">Get-Service *MySQL*</w:t>
            </w:r>
          </w:p>
          <w:p>
            <w:pPr>
              <w:spacing w:after="0" w:line="276"/>
            </w:pPr>
            <w:r>
              <w:rPr>
                <w:sz w:val="22"/>
                <w:szCs w:val="22"/>
              </w:rPr>
              <w:t xml:space="preserve">La verificación reveló que solo estaba instalado MySQL Workbench —el cliente gráfico— y no el servidor. El comando fallaba porque el servidor efectivamente no existía, no por un problema de PATH.</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2"/>
                <w:szCs w:val="22"/>
              </w:rPr>
              <w:t xml:space="preserve">La instrucción de no ejecutar Upgrade ni Remove sobre una instalación cuyo contenido se desconocía, y la posterior instalación selectiva de únicamente MySQL Server 8.0.47 mediante la opción Add, sin agregar Shell, Router ni conectores innecesarios.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Errores de la IA detectados</w:t>
            </w:r>
          </w:p>
        </w:tc>
        <w:tc>
          <w:tcPr>
            <w:tcW w:type="dxa" w:w="6960"/>
            <w:tcMar>
              <w:top w:type="dxa" w:w="80"/>
              <w:left w:type="dxa" w:w="120"/>
              <w:bottom w:type="dxa" w:w="80"/>
              <w:right w:type="dxa" w:w="120"/>
            </w:tcMar>
          </w:tcPr>
          <w:p>
            <w:pPr>
              <w:spacing w:after="0" w:line="276"/>
            </w:pPr>
            <w:r>
              <w:rPr>
                <w:sz w:val="22"/>
                <w:szCs w:val="22"/>
              </w:rPr>
              <w:t xml:space="preserve">La guía inicial de instalación asumió una máquina sin ningún componente de MySQL presente, partiendo únicamente de la salida "command not found". Esa salida indica que un ejecutable no está en el PATH, no que el producto esté ausente. La IA infirió el estado del sistema a partir de un dato insuficiente, exactamente el mismo patrón de error registrado en la Entrada 01.</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Incidencia adicional</w:t>
            </w:r>
          </w:p>
        </w:tc>
        <w:tc>
          <w:tcPr>
            <w:tcW w:type="dxa" w:w="6960"/>
            <w:tcMar>
              <w:top w:type="dxa" w:w="80"/>
              <w:left w:type="dxa" w:w="120"/>
              <w:bottom w:type="dxa" w:w="80"/>
              <w:right w:type="dxa" w:w="120"/>
            </w:tcMar>
          </w:tcPr>
          <w:p>
            <w:pPr>
              <w:spacing w:after="60" w:line="276"/>
            </w:pPr>
            <w:r>
              <w:rPr>
                <w:sz w:val="22"/>
                <w:szCs w:val="22"/>
              </w:rPr>
              <w:t xml:space="preserve">Al abrir Workbench apareció una conexión preexistente llamada "Docker MySQL". Se consultó si debía utilizarse. La IA advirtió que no: esa conexión apunta a un servidor MySQL dentro de un contenedor Docker, distinto del servidor nativo recién instalado y habitualmente en otro puerto.</w:t>
            </w:r>
          </w:p>
          <w:p>
            <w:pPr>
              <w:spacing w:after="0" w:line="276"/>
            </w:pPr>
            <w:r>
              <w:rPr>
                <w:sz w:val="22"/>
                <w:szCs w:val="22"/>
              </w:rPr>
              <w:t xml:space="preserve">De haberse creado la base de datos en esa conexión, Laravel —configurado contra 127.0.0.1:3306— no la habría encontrado, produciendo un error cuya causa es difícil de rastrear. Se creó una conexión nueva, nombrada "Local MySQL 8.0" para distinguirla explícitamente.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Configuración final</w:t>
            </w:r>
          </w:p>
        </w:tc>
        <w:tc>
          <w:tcPr>
            <w:tcW w:type="dxa" w:w="6960"/>
            <w:tcMar>
              <w:top w:type="dxa" w:w="80"/>
              <w:left w:type="dxa" w:w="120"/>
              <w:bottom w:type="dxa" w:w="80"/>
              <w:right w:type="dxa" w:w="120"/>
            </w:tcMar>
          </w:tcPr>
          <w:p>
            <w:pPr>
              <w:spacing w:after="60" w:line="276"/>
            </w:pPr>
            <w:r>
              <w:rPr>
                <w:sz w:val="22"/>
                <w:szCs w:val="22"/>
              </w:rPr>
              <w:t xml:space="preserve">Servidor MySQL 8.0.47, puerto 3306, autenticación Strong Password Encryption, servicio MySQL80 con arranque automático. Base de datos creada con codificación explícita:</w:t>
            </w:r>
          </w:p>
          <w:p>
            <w:pPr>
              <w:spacing w:after="60" w:line="240"/>
              <w:ind w:left="360"/>
            </w:pPr>
            <w:r>
              <w:rPr>
                <w:rFonts w:ascii="Consolas" w:cs="Consolas" w:eastAsia="Consolas" w:hAnsi="Consolas"/>
                <w:sz w:val="19"/>
                <w:szCs w:val="19"/>
              </w:rPr>
              <w:t xml:space="preserve">CREATE DATABASE student_requests</w:t>
            </w:r>
          </w:p>
          <w:p>
            <w:pPr>
              <w:spacing w:after="60" w:line="240"/>
              <w:ind w:left="360"/>
            </w:pPr>
            <w:r>
              <w:rPr>
                <w:rFonts w:ascii="Consolas" w:cs="Consolas" w:eastAsia="Consolas" w:hAnsi="Consolas"/>
                <w:sz w:val="19"/>
                <w:szCs w:val="19"/>
              </w:rPr>
              <w:t xml:space="preserve">  CHARACTER SET utf8mb4</w:t>
            </w:r>
          </w:p>
          <w:p>
            <w:pPr>
              <w:spacing w:after="60" w:line="240"/>
              <w:ind w:left="360"/>
            </w:pPr>
            <w:r>
              <w:rPr>
                <w:rFonts w:ascii="Consolas" w:cs="Consolas" w:eastAsia="Consolas" w:hAnsi="Consolas"/>
                <w:sz w:val="19"/>
                <w:szCs w:val="19"/>
              </w:rPr>
              <w:t xml:space="preserve">  COLLATE utf8mb4_unicode_ci;</w:t>
            </w:r>
          </w:p>
          <w:p>
            <w:pPr>
              <w:spacing w:after="0" w:line="276"/>
            </w:pPr>
            <w:r>
              <w:rPr>
                <w:sz w:val="22"/>
                <w:szCs w:val="22"/>
              </w:rPr>
              <w:t xml:space="preserve">La codificación utf8mb4 se estableció de forma deliberada: el dominio contiene nombres de cursos e instituciones con tildes y eñes, y corregir la codificación después de cargar datos obliga a migrar la base completa.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Se confirmó la regla adoptada en la Entrada 01 y se extendió: antes de instalar, desinstalar o actualizar cualquier componente, se verifica el estado real del sistema con comandos de solo lectura. El costo de verificar es de segundos; el de una desinstalación equivocada, de horas.</w:t>
            </w:r>
          </w:p>
        </w:tc>
      </w:tr>
    </w:tbl>
    <w:p>
      <w:pPr>
        <w:spacing w:after="200"/>
      </w:pPr>
    </w:p>
    <w:p>
      <w:pPr>
        <w:pStyle w:val="Heading2"/>
        <w:spacing w:after="140" w:before="280"/>
      </w:pPr>
      <w:r>
        <w:rPr>
          <w:b/>
          <w:bCs/>
          <w:color w:val="1F4E79"/>
          <w:sz w:val="25"/>
          <w:szCs w:val="25"/>
        </w:rPr>
        <w:t xml:space="preserve">Entrada 06 — Diseño del esquema sin el estándar del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El primer entregable exige models, factories, migrations y seeders. Sin embargo, la estandarización de la base de datos definida en clase no está disponible: un integrante no pudo asistir a esa sesión y la grabación aún no se ha publicado. Existe el riesgo de construir un esquema que luego deba rehacerse.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planteó explícitamente la tensión: no es posible diseñar el esquema definitivo sin el estándar, pero el entregable no puede esperar.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planteadas</w:t>
            </w:r>
          </w:p>
        </w:tc>
        <w:tc>
          <w:tcPr>
            <w:tcW w:type="dxa" w:w="6960"/>
            <w:tcMar>
              <w:top w:type="dxa" w:w="80"/>
              <w:left w:type="dxa" w:w="120"/>
              <w:bottom w:type="dxa" w:w="80"/>
              <w:right w:type="dxa" w:w="120"/>
            </w:tcMar>
          </w:tcPr>
          <w:p>
            <w:pPr>
              <w:spacing w:after="60" w:line="276"/>
            </w:pPr>
            <w:r>
              <w:rPr>
                <w:sz w:val="22"/>
                <w:szCs w:val="22"/>
              </w:rPr>
              <w:t xml:space="preserve">1. Esperar a que se publique el estándar. Descartada: la fecha de publicación es desconocida y detiene el avance.</w:t>
            </w:r>
          </w:p>
          <w:p>
            <w:pPr>
              <w:spacing w:after="60" w:line="276"/>
            </w:pPr>
            <w:r>
              <w:rPr>
                <w:sz w:val="22"/>
                <w:szCs w:val="22"/>
              </w:rPr>
              <w:t xml:space="preserve">2. Construir el esquema completo derivándolo del SRS y ajustarlo después.</w:t>
            </w:r>
          </w:p>
          <w:p>
            <w:pPr>
              <w:spacing w:after="0" w:line="276"/>
            </w:pPr>
            <w:r>
              <w:rPr>
                <w:sz w:val="22"/>
                <w:szCs w:val="22"/>
              </w:rPr>
              <w:t xml:space="preserve">3. Construir únicamente las tablas sin margen de interpretación y postergar el resto.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2"/>
                <w:szCs w:val="22"/>
              </w:rPr>
              <w:t xml:space="preserve">Se optó por la opción 2: esquema completo de trece tablas derivado directamente de los requerimientos ES-01 a ES-04. El razonamiento es que las entidades provienen de la especificación, no de una interpretación libre; cualquier estandarización razonable coincidirá en lo sustantivo y diferirá, a lo sumo, en convenciones de nomenclatura.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Condición asociada</w:t>
            </w:r>
          </w:p>
        </w:tc>
        <w:tc>
          <w:tcPr>
            <w:tcW w:type="dxa" w:w="6960"/>
            <w:tcMar>
              <w:top w:type="dxa" w:w="80"/>
              <w:left w:type="dxa" w:w="120"/>
              <w:bottom w:type="dxa" w:w="80"/>
              <w:right w:type="dxa" w:w="120"/>
            </w:tcMar>
          </w:tcPr>
          <w:p>
            <w:pPr>
              <w:spacing w:after="60" w:line="276"/>
            </w:pPr>
            <w:r>
              <w:rPr>
                <w:sz w:val="22"/>
                <w:szCs w:val="22"/>
              </w:rPr>
              <w:t xml:space="preserve">Se estableció una regla de trabajo obligatoria: el esquema se construye exclusivamente mediante migraciones versionadas. No se modifica la base de datos desde Workbench ni desde ninguna herramienta gráfica.</w:t>
            </w:r>
          </w:p>
          <w:p>
            <w:pPr>
              <w:spacing w:after="0" w:line="276"/>
            </w:pPr>
            <w:r>
              <w:rPr>
                <w:sz w:val="22"/>
                <w:szCs w:val="22"/>
              </w:rPr>
              <w:t xml:space="preserve">Cuando el estándar del curso esté disponible, la diferencia se resolverá editando las migraciones —si aún no han sido ejecutadas por el resto del equipo— o mediante migraciones de ajuste en caso contrario. En ambos escenarios el cambio queda registrado en el historial de Git.</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Aclaración técnica solicitada</w:t>
            </w:r>
          </w:p>
        </w:tc>
        <w:tc>
          <w:tcPr>
            <w:tcW w:type="dxa" w:w="6960"/>
            <w:tcMar>
              <w:top w:type="dxa" w:w="80"/>
              <w:left w:type="dxa" w:w="120"/>
              <w:bottom w:type="dxa" w:w="80"/>
              <w:right w:type="dxa" w:w="120"/>
            </w:tcMar>
          </w:tcPr>
          <w:p>
            <w:pPr>
              <w:spacing w:after="60" w:line="276"/>
            </w:pPr>
            <w:r>
              <w:rPr>
                <w:sz w:val="22"/>
                <w:szCs w:val="22"/>
              </w:rPr>
              <w:t xml:space="preserve">Se consultó si los atributos definidos en una migración pueden modificarse posteriormente o si quedan fijados al crearse. La respuesta aclaró la distinción entre el archivo de migración y la tabla en la base de datos:</w:t>
            </w:r>
          </w:p>
          <w:p>
            <w:pPr>
              <w:pStyle w:val="ListParagraph"/>
              <w:numPr>
                <w:ilvl w:val="0"/>
                <w:numId w:val="2"/>
              </w:numPr>
              <w:spacing w:after="80" w:line="276"/>
            </w:pPr>
            <w:r>
              <w:rPr>
                <w:sz w:val="22"/>
                <w:szCs w:val="22"/>
              </w:rPr>
              <w:t xml:space="preserve">make:model -mfs genera únicamente archivos PHP; no toca la base de datos.</w:t>
            </w:r>
          </w:p>
          <w:p>
            <w:pPr>
              <w:pStyle w:val="ListParagraph"/>
              <w:numPr>
                <w:ilvl w:val="0"/>
                <w:numId w:val="2"/>
              </w:numPr>
              <w:spacing w:after="80" w:line="276"/>
            </w:pPr>
            <w:r>
              <w:rPr>
                <w:sz w:val="22"/>
                <w:szCs w:val="22"/>
              </w:rPr>
              <w:t xml:space="preserve">La tabla se crea al ejecutar php artisan migrate.</w:t>
            </w:r>
          </w:p>
          <w:p>
            <w:pPr>
              <w:pStyle w:val="ListParagraph"/>
              <w:numPr>
                <w:ilvl w:val="0"/>
                <w:numId w:val="2"/>
              </w:numPr>
              <w:spacing w:after="80" w:line="276"/>
            </w:pPr>
            <w:r>
              <w:rPr>
                <w:sz w:val="22"/>
                <w:szCs w:val="22"/>
              </w:rPr>
              <w:t xml:space="preserve">Editar una migración ya ejecutada no produce efecto: Laravel la registra como aplicada en la tabla migrations y la omite.</w:t>
            </w:r>
          </w:p>
          <w:p>
            <w:pPr>
              <w:pStyle w:val="ListParagraph"/>
              <w:numPr>
                <w:ilvl w:val="0"/>
                <w:numId w:val="2"/>
              </w:numPr>
              <w:spacing w:after="80" w:line="276"/>
            </w:pPr>
            <w:r>
              <w:rPr>
                <w:sz w:val="22"/>
                <w:szCs w:val="22"/>
              </w:rPr>
              <w:t xml:space="preserve">Durante desarrollo, php artisan migrate:fresh --seed reconstruye el esquema completo desde cero.</w:t>
            </w:r>
          </w:p>
          <w:p>
            <w:pPr>
              <w:spacing w:after="0" w:line="276"/>
            </w:pPr>
            <w:r>
              <w:rPr>
                <w:sz w:val="22"/>
                <w:szCs w:val="22"/>
              </w:rPr>
              <w:t xml:space="preserve">Regla adoptada: si una migración ya fue publicada en la rama main y ejecutada por otro integrante, no se edita; el cambio va como migración nueva.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Registrar un supuesto pendiente de confirmación permite avanzar sin ocultar el riesgo. El esquema de este avance es explícitamente provisional, y la restricción de trabajar solo por migraciones garantiza que el ajuste futuro sea trazable en lugar de silencioso.</w:t>
            </w:r>
          </w:p>
        </w:tc>
      </w:tr>
    </w:tbl>
    <w:p>
      <w:pPr>
        <w:spacing w:after="200"/>
      </w:pPr>
    </w:p>
    <w:p>
      <w:pPr>
        <w:pStyle w:val="Heading2"/>
        <w:spacing w:after="140" w:before="280"/>
      </w:pPr>
      <w:r>
        <w:rPr>
          <w:b/>
          <w:bCs/>
          <w:color w:val="1F4E79"/>
          <w:sz w:val="25"/>
          <w:szCs w:val="25"/>
        </w:rPr>
        <w:t xml:space="preserve">Entrada 07 — Nomenclatura de entidades y colisión de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Al derivar las entidades del SRS, la traducción directa de "solicitud" al inglés produce Request, que sería el nombre natural del modelo central del sistema.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Problema identificado</w:t>
            </w:r>
          </w:p>
        </w:tc>
        <w:tc>
          <w:tcPr>
            <w:tcW w:type="dxa" w:w="6960"/>
            <w:tcMar>
              <w:top w:type="dxa" w:w="80"/>
              <w:left w:type="dxa" w:w="120"/>
              <w:bottom w:type="dxa" w:w="80"/>
              <w:right w:type="dxa" w:w="120"/>
            </w:tcMar>
          </w:tcPr>
          <w:p>
            <w:pPr>
              <w:spacing w:after="0" w:line="276"/>
            </w:pPr>
            <w:r>
              <w:rPr>
                <w:sz w:val="22"/>
                <w:szCs w:val="22"/>
              </w:rPr>
              <w:t xml:space="preserve">La IA advirtió que ese nombre colisiona con Illuminate\Http\Request, la clase que Laravel inyecta en prácticamente todos los controladores. Mantenerlo obligaría a declarar un alias en cada archivo donde ambas clases coincidan, o a arrastrar rutas completamente cualificadas.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w:t>
            </w:r>
          </w:p>
        </w:tc>
        <w:tc>
          <w:tcPr>
            <w:tcW w:type="dxa" w:w="6960"/>
            <w:tcMar>
              <w:top w:type="dxa" w:w="80"/>
              <w:left w:type="dxa" w:w="120"/>
              <w:bottom w:type="dxa" w:w="80"/>
              <w:right w:type="dxa" w:w="120"/>
            </w:tcMar>
          </w:tcPr>
          <w:p>
            <w:pPr>
              <w:spacing w:after="60" w:line="276"/>
            </w:pPr>
            <w:r>
              <w:rPr>
                <w:sz w:val="22"/>
                <w:szCs w:val="22"/>
              </w:rPr>
              <w:t xml:space="preserve">El modelo se denomina StudentRequest, con tabla student_requests. Las tablas hijas conservan nombres específicos por tipo de solicitud: waiver_requests para levantamientos de requisito y validation_requests para convalidaciones.</w:t>
            </w:r>
          </w:p>
          <w:p>
            <w:pPr>
              <w:spacing w:after="0" w:line="276"/>
            </w:pPr>
            <w:r>
              <w:rPr>
                <w:sz w:val="22"/>
                <w:szCs w:val="22"/>
              </w:rPr>
              <w:t xml:space="preserve">Otras traducciones adoptadas: levantamiento de requisito como waiver, convalidación como validation, expediente académico como academic_record, plan terminal como terminal_plan, precedente de convalidación como validation_precedent.</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Estructura resultante</w:t>
            </w:r>
          </w:p>
        </w:tc>
        <w:tc>
          <w:tcPr>
            <w:tcW w:type="dxa" w:w="6960"/>
            <w:tcMar>
              <w:top w:type="dxa" w:w="80"/>
              <w:left w:type="dxa" w:w="120"/>
              <w:bottom w:type="dxa" w:w="80"/>
              <w:right w:type="dxa" w:w="120"/>
            </w:tcMar>
          </w:tcPr>
          <w:p>
            <w:pPr>
              <w:spacing w:after="60" w:line="276"/>
            </w:pPr>
            <w:r>
              <w:rPr>
                <w:sz w:val="22"/>
                <w:szCs w:val="22"/>
              </w:rPr>
              <w:t xml:space="preserve">Trece tablas organizadas en cuatro grupos:</w:t>
            </w:r>
          </w:p>
          <w:p>
            <w:pPr>
              <w:pStyle w:val="ListParagraph"/>
              <w:numPr>
                <w:ilvl w:val="0"/>
                <w:numId w:val="2"/>
              </w:numPr>
              <w:spacing w:after="80" w:line="276"/>
            </w:pPr>
            <w:r>
              <w:rPr>
                <w:sz w:val="22"/>
                <w:szCs w:val="22"/>
              </w:rPr>
              <w:t xml:space="preserve">Catálogo académico: careers, courses, course_prerequisites.</w:t>
            </w:r>
          </w:p>
          <w:p>
            <w:pPr>
              <w:pStyle w:val="ListParagraph"/>
              <w:numPr>
                <w:ilvl w:val="0"/>
                <w:numId w:val="2"/>
              </w:numPr>
              <w:spacing w:after="80" w:line="276"/>
            </w:pPr>
            <w:r>
              <w:rPr>
                <w:sz w:val="22"/>
                <w:szCs w:val="22"/>
              </w:rPr>
              <w:t xml:space="preserve">Expediente del estudiante: students, academic_records.</w:t>
            </w:r>
          </w:p>
          <w:p>
            <w:pPr>
              <w:pStyle w:val="ListParagraph"/>
              <w:numPr>
                <w:ilvl w:val="0"/>
                <w:numId w:val="2"/>
              </w:numPr>
              <w:spacing w:after="80" w:line="276"/>
            </w:pPr>
            <w:r>
              <w:rPr>
                <w:sz w:val="22"/>
                <w:szCs w:val="22"/>
              </w:rPr>
              <w:t xml:space="preserve">Configuración: waiver_rules, validation_precedents.</w:t>
            </w:r>
          </w:p>
          <w:p>
            <w:pPr>
              <w:pStyle w:val="ListParagraph"/>
              <w:numPr>
                <w:ilvl w:val="0"/>
                <w:numId w:val="2"/>
              </w:numPr>
              <w:spacing w:after="80" w:line="276"/>
            </w:pPr>
            <w:r>
              <w:rPr>
                <w:sz w:val="22"/>
                <w:szCs w:val="22"/>
              </w:rPr>
              <w:t xml:space="preserve">Flujo de solicitudes: student_requests, waiver_requests, validation_requests, attachments, status_changes, granted_waivers.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Costo asumido</w:t>
            </w:r>
          </w:p>
        </w:tc>
        <w:tc>
          <w:tcPr>
            <w:tcW w:type="dxa" w:w="6960"/>
            <w:tcMar>
              <w:top w:type="dxa" w:w="80"/>
              <w:left w:type="dxa" w:w="120"/>
              <w:bottom w:type="dxa" w:w="80"/>
              <w:right w:type="dxa" w:w="120"/>
            </w:tcMar>
          </w:tcPr>
          <w:p>
            <w:pPr>
              <w:spacing w:after="0" w:line="276"/>
            </w:pPr>
            <w:r>
              <w:rPr>
                <w:sz w:val="22"/>
                <w:szCs w:val="22"/>
              </w:rPr>
              <w:t xml:space="preserve">La decisión de la Entrada 03 —código íntegramente en inglés— implica que el docente leerá waiver_request donde el SRS dice "levantamiento de requisito". Se confirma la necesidad de preparar un glosario de correspondencias español–inglés para la defensa oral.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La traducción literal del lenguaje de negocio puede chocar con el espacio de nombres del framework. La colisión no era evidente al derivar las entidades desde la especificación y se detectó antes de generar el código, no después.</w:t>
            </w:r>
          </w:p>
        </w:tc>
      </w:tr>
    </w:tbl>
    <w:p>
      <w:pPr>
        <w:spacing w:after="200"/>
      </w:pPr>
    </w:p>
    <w:p>
      <w:pPr>
        <w:pStyle w:val="Heading2"/>
        <w:spacing w:after="140" w:before="280"/>
      </w:pPr>
      <w:r>
        <w:rPr>
          <w:b/>
          <w:bCs/>
          <w:color w:val="1F4E79"/>
          <w:sz w:val="25"/>
          <w:szCs w:val="25"/>
        </w:rPr>
        <w:t xml:space="preserve">Entrada 08 — Representación de las reglas de ES-01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Estado</w:t>
            </w:r>
          </w:p>
        </w:tc>
        <w:tc>
          <w:tcPr>
            <w:tcW w:type="dxa" w:w="6960"/>
            <w:tcMar>
              <w:top w:type="dxa" w:w="80"/>
              <w:left w:type="dxa" w:w="120"/>
              <w:bottom w:type="dxa" w:w="80"/>
              <w:right w:type="dxa" w:w="120"/>
            </w:tcMar>
          </w:tcPr>
          <w:p>
            <w:pPr>
              <w:spacing w:after="0" w:line="276"/>
            </w:pPr>
            <w:r>
              <w:rPr>
                <w:sz w:val="21"/>
                <w:szCs w:val="21"/>
              </w:rPr>
              <w:t xml:space="preserve">Decisión pendiente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60" w:line="276"/>
            </w:pPr>
            <w:r>
              <w:rPr>
                <w:sz w:val="22"/>
                <w:szCs w:val="22"/>
              </w:rPr>
              <w:t xml:space="preserve">ES-01 define cuatro tipos de regla configurables por la Coordinadora, cada uno con parámetros distintos:</w:t>
            </w:r>
          </w:p>
          <w:p>
            <w:pPr>
              <w:pStyle w:val="ListParagraph"/>
              <w:numPr>
                <w:ilvl w:val="0"/>
                <w:numId w:val="2"/>
              </w:numPr>
              <w:spacing w:after="80" w:line="276"/>
            </w:pPr>
            <w:r>
              <w:rPr>
                <w:sz w:val="22"/>
                <w:szCs w:val="22"/>
              </w:rPr>
              <w:t xml:space="preserve">Requisito aprobado con nota igual o superior a un valor: requiere un curso y una nota.</w:t>
            </w:r>
          </w:p>
          <w:p>
            <w:pPr>
              <w:pStyle w:val="ListParagraph"/>
              <w:numPr>
                <w:ilvl w:val="0"/>
                <w:numId w:val="2"/>
              </w:numPr>
              <w:spacing w:after="80" w:line="276"/>
            </w:pPr>
            <w:r>
              <w:rPr>
                <w:sz w:val="22"/>
                <w:szCs w:val="22"/>
              </w:rPr>
              <w:t xml:space="preserve">Créditos o cursos acumulados por encima de un umbral: requiere un número.</w:t>
            </w:r>
          </w:p>
          <w:p>
            <w:pPr>
              <w:pStyle w:val="ListParagraph"/>
              <w:numPr>
                <w:ilvl w:val="0"/>
                <w:numId w:val="2"/>
              </w:numPr>
              <w:spacing w:after="80" w:line="276"/>
            </w:pPr>
            <w:r>
              <w:rPr>
                <w:sz w:val="22"/>
                <w:szCs w:val="22"/>
              </w:rPr>
              <w:t xml:space="preserve">Estudiante en plan terminal: no requiere parámetros.</w:t>
            </w:r>
          </w:p>
          <w:p>
            <w:pPr>
              <w:pStyle w:val="ListParagraph"/>
              <w:numPr>
                <w:ilvl w:val="0"/>
                <w:numId w:val="2"/>
              </w:numPr>
              <w:spacing w:after="80" w:line="276"/>
            </w:pPr>
            <w:r>
              <w:rPr>
                <w:sz w:val="22"/>
                <w:szCs w:val="22"/>
              </w:rPr>
              <w:t xml:space="preserve">Regla de revisión manual siempre: no requiere parámetros.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evaluadas</w:t>
            </w:r>
          </w:p>
        </w:tc>
        <w:tc>
          <w:tcPr>
            <w:tcW w:type="dxa" w:w="6960"/>
            <w:tcMar>
              <w:top w:type="dxa" w:w="80"/>
              <w:left w:type="dxa" w:w="120"/>
              <w:bottom w:type="dxa" w:w="80"/>
              <w:right w:type="dxa" w:w="120"/>
            </w:tcMar>
          </w:tcPr>
          <w:p>
            <w:pPr>
              <w:spacing w:after="80" w:line="276"/>
            </w:pPr>
            <w:r>
              <w:rPr>
                <w:sz w:val="22"/>
                <w:szCs w:val="22"/>
              </w:rPr>
              <w:t xml:space="preserve">Columnas fijas: una columna por parámetro posible (min_grade, required_course_id, min_credits), todas nullable. Permite claves foráneas reales e integridad referencial garantizada por MySQL, y consultas SQL directas. En contra: la mayoría de filas quedan con valores nulos, y cada tipo de regla nuevo exige una migración que altere la tabla.</w:t>
            </w:r>
          </w:p>
          <w:p>
            <w:pPr>
              <w:spacing w:after="0" w:line="276"/>
            </w:pPr>
            <w:r>
              <w:rPr>
                <w:sz w:val="22"/>
                <w:szCs w:val="22"/>
              </w:rPr>
              <w:t xml:space="preserve">Parámetros en JSON: columnas type y parameters. Agregar un tipo de regla nuevo no modifica el esquema. En contra: se pierde la integridad referencial —un identificador de curso dentro del JSON no lo valida el motor de base de datos— y las consultas se vuelven más complejas.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Análisis registrado</w:t>
            </w:r>
          </w:p>
        </w:tc>
        <w:tc>
          <w:tcPr>
            <w:tcW w:type="dxa" w:w="6960"/>
            <w:tcMar>
              <w:top w:type="dxa" w:w="80"/>
              <w:left w:type="dxa" w:w="120"/>
              <w:bottom w:type="dxa" w:w="80"/>
              <w:right w:type="dxa" w:w="120"/>
            </w:tcMar>
          </w:tcPr>
          <w:p>
            <w:pPr>
              <w:spacing w:after="60" w:line="276"/>
            </w:pPr>
            <w:r>
              <w:rPr>
                <w:sz w:val="22"/>
                <w:szCs w:val="22"/>
              </w:rPr>
              <w:t xml:space="preserve">La rúbrica establece como nivel Excelente que "agregar una regla nueva no requiere modificar código fuente". La IA señaló que el criterio se refiere a agregar una instancia de regla configurada por la Coordinadora, no un tipo de regla nuevo. Bajo esa lectura, ambas opciones cumplen el requisito literal.</w:t>
            </w:r>
          </w:p>
          <w:p>
            <w:pPr>
              <w:spacing w:after="0" w:line="276"/>
            </w:pPr>
            <w:r>
              <w:rPr>
                <w:sz w:val="22"/>
                <w:szCs w:val="22"/>
              </w:rPr>
              <w:t xml:space="preserve">La diferencia se manifiesta ante una solicitud de cambio en vivo durante la defensa, por ejemplo agregar una regla que valide la ausencia de cursos reprobados.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Estado</w:t>
            </w:r>
          </w:p>
        </w:tc>
        <w:tc>
          <w:tcPr>
            <w:tcW w:type="dxa" w:w="6960"/>
            <w:tcMar>
              <w:top w:type="dxa" w:w="80"/>
              <w:left w:type="dxa" w:w="120"/>
              <w:bottom w:type="dxa" w:w="80"/>
              <w:right w:type="dxa" w:w="120"/>
            </w:tcMar>
          </w:tcPr>
          <w:p>
            <w:pPr>
              <w:spacing w:after="0" w:line="276"/>
            </w:pPr>
            <w:r>
              <w:rPr>
                <w:sz w:val="22"/>
                <w:szCs w:val="22"/>
              </w:rPr>
              <w:t xml:space="preserve">Decisión reservada al equipo, por ser la que previsiblemente será cuestionada en la defensa oral. La justificación debe ser propia y no derivada de la recomendación de la IA. Esta tabla es la última que se construirá dentro del avance; las doce restantes no dependen de esta decisión.</w:t>
            </w:r>
          </w:p>
        </w:tc>
      </w:tr>
    </w:tbl>
    <w:p>
      <w:pPr>
        <w:spacing w:after="200"/>
      </w:pPr>
    </w:p>
    <w:p>
      <w:pPr>
        <w:pStyle w:val="Heading2"/>
        <w:spacing w:after="140" w:before="280"/>
      </w:pPr>
      <w:r>
        <w:rPr>
          <w:b/>
          <w:bCs/>
          <w:color w:val="1F4E79"/>
          <w:sz w:val="25"/>
          <w:szCs w:val="25"/>
        </w:rPr>
        <w:t xml:space="preserve">Entrada 09 — Repositorio remoto y estrategia de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01/08/2026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control de versiones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El repositorio existía únicamente en local. Surgió la preocupación de que al publicarlo se subieran las credenciales de la base de datos contenidas en el archivo .env, y de que todo el trabajo quedara consolidado en un único commit en lugar de reflejar el avance paso a paso.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Verificación de seguridad</w:t>
            </w:r>
          </w:p>
        </w:tc>
        <w:tc>
          <w:tcPr>
            <w:tcW w:type="dxa" w:w="6960"/>
            <w:tcMar>
              <w:top w:type="dxa" w:w="80"/>
              <w:left w:type="dxa" w:w="120"/>
              <w:bottom w:type="dxa" w:w="80"/>
              <w:right w:type="dxa" w:w="120"/>
            </w:tcMar>
          </w:tcPr>
          <w:p>
            <w:pPr>
              <w:spacing w:after="60" w:line="276"/>
            </w:pPr>
            <w:r>
              <w:rPr>
                <w:sz w:val="22"/>
                <w:szCs w:val="22"/>
              </w:rPr>
              <w:t xml:space="preserve">Antes de publicar se comprobó el estado del archivo de configuración:</w:t>
            </w:r>
          </w:p>
          <w:p>
            <w:pPr>
              <w:spacing w:after="60" w:line="240"/>
              <w:ind w:left="360"/>
            </w:pPr>
            <w:r>
              <w:rPr>
                <w:rFonts w:ascii="Consolas" w:cs="Consolas" w:eastAsia="Consolas" w:hAnsi="Consolas"/>
                <w:sz w:val="19"/>
                <w:szCs w:val="19"/>
              </w:rPr>
              <w:t xml:space="preserve">git check-ignore -v .env</w:t>
            </w:r>
          </w:p>
          <w:p>
            <w:pPr>
              <w:spacing w:after="60" w:line="240"/>
              <w:ind w:left="360"/>
            </w:pPr>
            <w:r>
              <w:rPr>
                <w:rFonts w:ascii="Consolas" w:cs="Consolas" w:eastAsia="Consolas" w:hAnsi="Consolas"/>
                <w:sz w:val="19"/>
                <w:szCs w:val="19"/>
              </w:rPr>
              <w:t xml:space="preserve">  -&gt; .gitignore:3:.env    .env</w:t>
            </w:r>
          </w:p>
          <w:p>
            <w:pPr>
              <w:spacing w:after="60" w:line="240"/>
              <w:ind w:left="360"/>
            </w:pPr>
            <w:r>
              <w:rPr>
                <w:rFonts w:ascii="Consolas" w:cs="Consolas" w:eastAsia="Consolas" w:hAnsi="Consolas"/>
                <w:sz w:val="19"/>
                <w:szCs w:val="19"/>
              </w:rPr>
              <w:t xml:space="preserve">git log --all --oneline -- .env</w:t>
            </w:r>
          </w:p>
          <w:p>
            <w:pPr>
              <w:spacing w:after="60" w:line="240"/>
              <w:ind w:left="360"/>
            </w:pPr>
            <w:r>
              <w:rPr>
                <w:rFonts w:ascii="Consolas" w:cs="Consolas" w:eastAsia="Consolas" w:hAnsi="Consolas"/>
                <w:sz w:val="19"/>
                <w:szCs w:val="19"/>
              </w:rPr>
              <w:t xml:space="preserve">  -&gt; (sin resultados)</w:t>
            </w:r>
          </w:p>
          <w:p>
            <w:pPr>
              <w:spacing w:after="0" w:line="276"/>
            </w:pPr>
            <w:r>
              <w:rPr>
                <w:sz w:val="22"/>
                <w:szCs w:val="22"/>
              </w:rPr>
              <w:t xml:space="preserve">El primer comando confirma que el archivo está excluido; el segundo, que nunca formó parte de ningún commit. Laravel incorpora .env en el .gitignore desde la creación del proyecto, de modo que las credenciales nunca salieron de la máquina local.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 de la IA detectado</w:t>
            </w:r>
          </w:p>
        </w:tc>
        <w:tc>
          <w:tcPr>
            <w:tcW w:type="dxa" w:w="6960"/>
            <w:tcMar>
              <w:top w:type="dxa" w:w="80"/>
              <w:left w:type="dxa" w:w="120"/>
              <w:bottom w:type="dxa" w:w="80"/>
              <w:right w:type="dxa" w:w="120"/>
            </w:tcMar>
          </w:tcPr>
          <w:p>
            <w:pPr>
              <w:spacing w:after="60" w:line="276"/>
            </w:pPr>
            <w:r>
              <w:rPr>
                <w:sz w:val="22"/>
                <w:szCs w:val="22"/>
              </w:rPr>
              <w:t xml:space="preserve">La IA interpretó inicialmente la solicitud como un deseo de excluir del repositorio los archivos de migraciones y seeders, y elaboró una respuesta sobre staging selectivo y sobre por qué no conviene añadirlos al .gitignore.</w:t>
            </w:r>
          </w:p>
          <w:p>
            <w:pPr>
              <w:spacing w:after="60" w:line="276"/>
            </w:pPr>
            <w:r>
              <w:rPr>
                <w:sz w:val="22"/>
                <w:szCs w:val="22"/>
              </w:rPr>
              <w:t xml:space="preserve">La preocupación real era distinta: no existía repositorio remoto, y se temía que al crearlo el historial se aplastara en un solo commit. La IA respondió a un problema que no se le había planteado.</w:t>
            </w:r>
          </w:p>
          <w:p>
            <w:pPr>
              <w:spacing w:after="0" w:line="276"/>
            </w:pPr>
            <w:r>
              <w:rPr>
                <w:sz w:val="22"/>
                <w:szCs w:val="22"/>
              </w:rPr>
              <w:t xml:space="preserve">Se corrigió al aclarar el contexto. La respuesta correcta era que Git conserva el historial completo con independencia de cuándo se cree el remoto: los commits existen en el directorio .git local desde que se crean, y el push los transfiere uno por uno con sus fechas y mensajes originales.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Procedimiento aplicado</w:t>
            </w:r>
          </w:p>
        </w:tc>
        <w:tc>
          <w:tcPr>
            <w:tcW w:type="dxa" w:w="6960"/>
            <w:tcMar>
              <w:top w:type="dxa" w:w="80"/>
              <w:left w:type="dxa" w:w="120"/>
              <w:bottom w:type="dxa" w:w="80"/>
              <w:right w:type="dxa" w:w="120"/>
            </w:tcMar>
          </w:tcPr>
          <w:p>
            <w:pPr>
              <w:spacing w:after="60" w:line="276"/>
            </w:pPr>
            <w:r>
              <w:rPr>
                <w:sz w:val="22"/>
                <w:szCs w:val="22"/>
              </w:rPr>
              <w:t xml:space="preserve">Repositorio creado en GitHub completamente vacío —sin README, sin .gitignore y sin licencia— para evitar historiales divergentes que harían fallar el primer push. Luego:</w:t>
            </w:r>
          </w:p>
          <w:p>
            <w:pPr>
              <w:spacing w:after="60" w:line="240"/>
              <w:ind w:left="360"/>
            </w:pPr>
            <w:r>
              <w:rPr>
                <w:rFonts w:ascii="Consolas" w:cs="Consolas" w:eastAsia="Consolas" w:hAnsi="Consolas"/>
                <w:sz w:val="19"/>
                <w:szCs w:val="19"/>
              </w:rPr>
              <w:t xml:space="preserve">git remote add origin https://github.com/...</w:t>
            </w:r>
          </w:p>
          <w:p>
            <w:pPr>
              <w:spacing w:after="60" w:line="240"/>
              <w:ind w:left="360"/>
            </w:pPr>
            <w:r>
              <w:rPr>
                <w:rFonts w:ascii="Consolas" w:cs="Consolas" w:eastAsia="Consolas" w:hAnsi="Consolas"/>
                <w:sz w:val="19"/>
                <w:szCs w:val="19"/>
              </w:rPr>
              <w:t xml:space="preserve">git push -u origin main</w:t>
            </w:r>
          </w:p>
          <w:p>
            <w:pPr>
              <w:spacing w:after="0" w:line="276"/>
            </w:pPr>
            <w:r>
              <w:rPr>
                <w:sz w:val="22"/>
                <w:szCs w:val="22"/>
              </w:rPr>
              <w:t xml:space="preserve">Resultado: 131 objetos transferidos, tres commits preservados con su historial intacto.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Estado del historial</w:t>
            </w:r>
          </w:p>
        </w:tc>
        <w:tc>
          <w:tcPr>
            <w:tcW w:type="dxa" w:w="6960"/>
            <w:tcMar>
              <w:top w:type="dxa" w:w="80"/>
              <w:left w:type="dxa" w:w="120"/>
              <w:bottom w:type="dxa" w:w="80"/>
              <w:right w:type="dxa" w:w="120"/>
            </w:tcMar>
          </w:tcPr>
          <w:p>
            <w:pPr>
              <w:spacing w:after="60"/>
            </w:pPr>
            <w:r>
              <w:rPr>
                <w:rFonts w:ascii="Consolas" w:cs="Consolas" w:eastAsia="Consolas" w:hAnsi="Consolas"/>
                <w:sz w:val="19"/>
                <w:szCs w:val="19"/>
              </w:rPr>
              <w:t xml:space="preserve">chore: initialize Laravel 13.8 project</w:t>
            </w:r>
          </w:p>
          <w:p>
            <w:pPr>
              <w:spacing w:after="60"/>
            </w:pPr>
            <w:r>
              <w:rPr>
                <w:rFonts w:ascii="Consolas" w:cs="Consolas" w:eastAsia="Consolas" w:hAnsi="Consolas"/>
                <w:sz w:val="19"/>
                <w:szCs w:val="19"/>
              </w:rPr>
              <w:t xml:space="preserve">chore(db): switch database driver to mysql</w:t>
            </w:r>
          </w:p>
          <w:p>
            <w:pPr>
              <w:spacing w:after="60"/>
            </w:pPr>
            <w:r>
              <w:rPr>
                <w:rFonts w:ascii="Consolas" w:cs="Consolas" w:eastAsia="Consolas" w:hAnsi="Consolas"/>
                <w:sz w:val="19"/>
                <w:szCs w:val="19"/>
              </w:rPr>
              <w:t xml:space="preserve">chore(db): scaffold domain models, migrations,</w:t>
            </w:r>
          </w:p>
          <w:p>
            <w:pPr>
              <w:spacing w:after="0"/>
            </w:pPr>
            <w:r>
              <w:rPr>
                <w:rFonts w:ascii="Consolas" w:cs="Consolas" w:eastAsia="Consolas" w:hAnsi="Consolas"/>
                <w:sz w:val="19"/>
                <w:szCs w:val="19"/>
              </w:rPr>
              <w:t xml:space="preserve">            factories and seeders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60" w:line="276"/>
            </w:pPr>
            <w:r>
              <w:rPr>
                <w:sz w:val="22"/>
                <w:szCs w:val="22"/>
              </w:rPr>
              <w:t xml:space="preserve">Un asistente puede responder de forma competente a una interpretación equivocada de la pregunta. La respuesta sobre staging selectivo era técnicamente correcta y completamente inútil para el problema real. La corrección no vino de reformular la consulta sino de describir el estado del sistema: "nunca creé el repositorio".</w:t>
            </w:r>
          </w:p>
          <w:p>
            <w:pPr>
              <w:spacing w:after="0" w:line="276"/>
            </w:pPr>
            <w:r>
              <w:rPr>
                <w:sz w:val="22"/>
                <w:szCs w:val="22"/>
              </w:rPr>
              <w:t xml:space="preserve">Se incorpora al criterio de trabajo: antes de aceptar una recomendación, verificar que la IA haya entendido el problema y no una versión plausible de él.</w:t>
            </w:r>
          </w:p>
        </w:tc>
      </w:tr>
    </w:tbl>
    <w:p>
      <w:pPr>
        <w:spacing w:after="200"/>
      </w:pPr>
    </w:p>
    <w:p>
      <w:pPr>
        <w:pStyle w:val="Heading2"/>
        <w:spacing w:after="140" w:before="280"/>
      </w:pPr>
      <w:r>
        <w:rPr>
          <w:b/>
          <w:bCs/>
          <w:color w:val="1F4E79"/>
          <w:sz w:val="25"/>
          <w:szCs w:val="25"/>
        </w:rPr>
        <w:t xml:space="preserve">Entrada 10 — Llegada del estándar institucional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Se obtuvo el script DDL estandarizado del curso, cuya ausencia había quedado registrada como riesgo en la Entrada 04. El archivo define treinta y dos tablas para una base denominada gestion_academica_utn.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2"/>
                <w:szCs w:val="22"/>
              </w:rPr>
              <w:t xml:space="preserve">Se solicitó contrastar el estándar contra el esquema de trece tablas construido a partir del SRS, e identificar qué tablas seguían siendo necesarias.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Hallazgo principal</w:t>
            </w:r>
          </w:p>
        </w:tc>
        <w:tc>
          <w:tcPr>
            <w:tcW w:type="dxa" w:w="6960"/>
            <w:tcMar>
              <w:top w:type="dxa" w:w="80"/>
              <w:left w:type="dxa" w:w="120"/>
              <w:bottom w:type="dxa" w:w="80"/>
              <w:right w:type="dxa" w:w="120"/>
            </w:tcMar>
          </w:tcPr>
          <w:p>
            <w:pPr>
              <w:spacing w:after="60" w:line="276"/>
            </w:pPr>
            <w:r>
              <w:rPr>
                <w:sz w:val="22"/>
                <w:szCs w:val="22"/>
              </w:rPr>
              <w:t xml:space="preserve">El estándar no corresponde al módulo de solicitudes estudiantiles, sino al de asignación docente y verificación de atinencias. Contiene docentes, atestados, especialidades, grupos, horarios, aulas y notas técnicas.</w:t>
            </w:r>
          </w:p>
          <w:p>
            <w:pPr>
              <w:spacing w:after="0" w:line="276"/>
            </w:pPr>
            <w:r>
              <w:rPr>
                <w:sz w:val="22"/>
                <w:szCs w:val="22"/>
              </w:rPr>
              <w:t xml:space="preserve">No incluye ninguna entidad estudiantil: no hay tabla de estudiantes, ni expediente académico, ni notas, ni requisitos entre cursos, ni solicitudes. Es una base institucional compartida sobre la cual cada módulo construye sus propias tablas.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Tablas reutilizables</w:t>
            </w:r>
          </w:p>
        </w:tc>
        <w:tc>
          <w:tcPr>
            <w:tcW w:type="dxa" w:w="6960"/>
            <w:tcMar>
              <w:top w:type="dxa" w:w="80"/>
              <w:left w:type="dxa" w:w="120"/>
              <w:bottom w:type="dxa" w:w="80"/>
              <w:right w:type="dxa" w:w="120"/>
            </w:tcMar>
          </w:tcPr>
          <w:p>
            <w:pPr>
              <w:spacing w:after="60" w:line="276"/>
            </w:pPr>
            <w:r>
              <w:rPr>
                <w:sz w:val="22"/>
                <w:szCs w:val="22"/>
              </w:rPr>
              <w:t xml:space="preserve">Ocho tablas del estándar cubren necesidades del módulo y no se redefinen:</w:t>
            </w:r>
          </w:p>
          <w:p>
            <w:pPr>
              <w:pStyle w:val="ListParagraph"/>
              <w:numPr>
                <w:ilvl w:val="0"/>
                <w:numId w:val="2"/>
              </w:numPr>
              <w:spacing w:after="80" w:line="276"/>
            </w:pPr>
            <w:r>
              <w:rPr>
                <w:sz w:val="22"/>
                <w:szCs w:val="22"/>
              </w:rPr>
              <w:t xml:space="preserve">users, roles, permissions, role_user, permission_role: control de acceso basado en roles ya resuelto.</w:t>
            </w:r>
          </w:p>
          <w:p>
            <w:pPr>
              <w:pStyle w:val="ListParagraph"/>
              <w:numPr>
                <w:ilvl w:val="0"/>
                <w:numId w:val="2"/>
              </w:numPr>
              <w:spacing w:after="80" w:line="276"/>
            </w:pPr>
            <w:r>
              <w:rPr>
                <w:sz w:val="22"/>
                <w:szCs w:val="22"/>
              </w:rPr>
              <w:t xml:space="preserve">carreras y cursos: sustituyen a las tablas careers y courses del diseño propio.</w:t>
            </w:r>
          </w:p>
          <w:p>
            <w:pPr>
              <w:pStyle w:val="ListParagraph"/>
              <w:numPr>
                <w:ilvl w:val="0"/>
                <w:numId w:val="2"/>
              </w:numPr>
              <w:spacing w:after="80" w:line="276"/>
            </w:pPr>
            <w:r>
              <w:rPr>
                <w:sz w:val="22"/>
                <w:szCs w:val="22"/>
              </w:rPr>
              <w:t xml:space="preserve">archivos: almacén documental polimórfico, sustituye a la tabla attachments prevista.</w:t>
            </w:r>
          </w:p>
          <w:p>
            <w:pPr>
              <w:pStyle w:val="ListParagraph"/>
              <w:numPr>
                <w:ilvl w:val="0"/>
                <w:numId w:val="2"/>
              </w:numPr>
              <w:spacing w:after="80" w:line="276"/>
            </w:pPr>
            <w:r>
              <w:rPr>
                <w:sz w:val="22"/>
                <w:szCs w:val="22"/>
              </w:rPr>
              <w:t xml:space="preserve">periodos_academicos: aporta el período lectivo al expediente académico.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Tablas por construir</w:t>
            </w:r>
          </w:p>
        </w:tc>
        <w:tc>
          <w:tcPr>
            <w:tcW w:type="dxa" w:w="6960"/>
            <w:tcMar>
              <w:top w:type="dxa" w:w="80"/>
              <w:left w:type="dxa" w:w="120"/>
              <w:bottom w:type="dxa" w:w="80"/>
              <w:right w:type="dxa" w:w="120"/>
            </w:tcMar>
          </w:tcPr>
          <w:p>
            <w:pPr>
              <w:spacing w:after="0" w:line="276"/>
            </w:pPr>
            <w:r>
              <w:rPr>
                <w:sz w:val="22"/>
                <w:szCs w:val="22"/>
              </w:rPr>
              <w:t xml:space="preserve">Diez tablas propias del módulo, inexistentes en el estándar: estudiantes, requisitos_cursos, expedientes_academicos, reglas_levantamiento, catalogos_convalidacion, solicitudes, solicitudes_levantamiento, solicitudes_convalidacion, cambios_estado y levantamientos_otorgados.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Ventaja no prevista</w:t>
            </w:r>
          </w:p>
        </w:tc>
        <w:tc>
          <w:tcPr>
            <w:tcW w:type="dxa" w:w="6960"/>
            <w:tcMar>
              <w:top w:type="dxa" w:w="80"/>
              <w:left w:type="dxa" w:w="120"/>
              <w:bottom w:type="dxa" w:w="80"/>
              <w:right w:type="dxa" w:w="120"/>
            </w:tcMar>
          </w:tcPr>
          <w:p>
            <w:pPr>
              <w:spacing w:after="0" w:line="276"/>
            </w:pPr>
            <w:r>
              <w:rPr>
                <w:sz w:val="22"/>
                <w:szCs w:val="22"/>
              </w:rPr>
              <w:t xml:space="preserve">La tabla archivos resultó superior al diseño propio de attachments: incorpora un identificador público para URL firmadas, un hash SHA-256 para verificación de integridad y detección de duplicados, el disco de almacenamiento y una relación polimórfica que permite adjuntar documentos a cualquier entidad sin crear tablas adicionales. El diseño propio contemplaba únicamente tipo, ruta, MIME y tamaño.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La decisión registrada en la Entrada 06 —construir el esquema desde el SRS trabajando solo por migraciones versionadas— resultó acertada. Al llegar el estándar, el ajuste consistió en eliminar tres tablas, renombrar el resto y agregar ocho heredadas, sin haber perdido trabajo, porque las migraciones aún no se habían ejecutado ni publicado para el otro integrante.</w:t>
            </w:r>
          </w:p>
        </w:tc>
      </w:tr>
    </w:tbl>
    <w:p>
      <w:pPr>
        <w:spacing w:after="200"/>
      </w:pPr>
    </w:p>
    <w:p>
      <w:pPr>
        <w:pStyle w:val="Heading2"/>
        <w:spacing w:after="140" w:before="280"/>
      </w:pPr>
      <w:r>
        <w:rPr>
          <w:b/>
          <w:bCs/>
          <w:color w:val="1F4E79"/>
          <w:sz w:val="25"/>
          <w:szCs w:val="25"/>
        </w:rPr>
        <w:t xml:space="preserve">Entrada 11 — Reversión de la decisión sobre el idioma del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La Entrada 03 registró la decisión del equipo de emplear inglés como idioma único del código, incluidas tablas y columnas. El estándar institucional está redactado íntegramente en español: carreras, cursos, nombre, activo, tamano_bytes, vigencia_inicio.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Conflicto</w:t>
            </w:r>
          </w:p>
        </w:tc>
        <w:tc>
          <w:tcPr>
            <w:tcW w:type="dxa" w:w="6960"/>
            <w:tcMar>
              <w:top w:type="dxa" w:w="80"/>
              <w:left w:type="dxa" w:w="120"/>
              <w:bottom w:type="dxa" w:w="80"/>
              <w:right w:type="dxa" w:w="120"/>
            </w:tcMar>
          </w:tcPr>
          <w:p>
            <w:pPr>
              <w:spacing w:after="0" w:line="276"/>
            </w:pPr>
            <w:r>
              <w:rPr>
                <w:sz w:val="22"/>
                <w:szCs w:val="22"/>
              </w:rPr>
              <w:t xml:space="preserve">Mantener el inglés habría producido un esquema mixto, con tablas como student_requests conviviendo con solicitudes heredadas del estándar. La incoherencia sería visible en cualquier revisión del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evaluadas</w:t>
            </w:r>
          </w:p>
        </w:tc>
        <w:tc>
          <w:tcPr>
            <w:tcW w:type="dxa" w:w="6960"/>
            <w:tcMar>
              <w:top w:type="dxa" w:w="80"/>
              <w:left w:type="dxa" w:w="120"/>
              <w:bottom w:type="dxa" w:w="80"/>
              <w:right w:type="dxa" w:w="120"/>
            </w:tcMar>
          </w:tcPr>
          <w:p>
            <w:pPr>
              <w:spacing w:after="60" w:line="276"/>
            </w:pPr>
            <w:r>
              <w:rPr>
                <w:sz w:val="22"/>
                <w:szCs w:val="22"/>
              </w:rPr>
              <w:t xml:space="preserve">1. Español en tablas y modelos, siguiendo el estándar.</w:t>
            </w:r>
          </w:p>
          <w:p>
            <w:pPr>
              <w:spacing w:after="60" w:line="276"/>
            </w:pPr>
            <w:r>
              <w:rPr>
                <w:sz w:val="22"/>
                <w:szCs w:val="22"/>
              </w:rPr>
              <w:t xml:space="preserve">2. Español en tablas e inglés en los modelos, con mapeo explícito mediante la propiedad $table y alias de columnas.</w:t>
            </w:r>
          </w:p>
          <w:p>
            <w:pPr>
              <w:spacing w:after="0" w:line="276"/>
            </w:pPr>
            <w:r>
              <w:rPr>
                <w:sz w:val="22"/>
                <w:szCs w:val="22"/>
              </w:rPr>
              <w:t xml:space="preserve">3. Inglés en todo, rompiendo con el estándar.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60" w:line="276"/>
            </w:pPr>
            <w:r>
              <w:rPr>
                <w:sz w:val="22"/>
                <w:szCs w:val="22"/>
              </w:rPr>
              <w:t xml:space="preserve">Opción 1. El estándar del curso prevalece sobre la preferencia del equipo. Tablas, columnas y modelos de Eloquent se nombran en español.</w:t>
            </w:r>
          </w:p>
          <w:p>
            <w:pPr>
              <w:spacing w:after="0" w:line="276"/>
            </w:pPr>
            <w:r>
              <w:rPr>
                <w:sz w:val="22"/>
                <w:szCs w:val="22"/>
              </w:rPr>
              <w:t xml:space="preserve">Se conserva de la Entrada 03 lo relativo al control de versiones: los mensajes de commit siguen en inglés y bajo Conventional Commits.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Consecuencia técnica</w:t>
            </w:r>
          </w:p>
        </w:tc>
        <w:tc>
          <w:tcPr>
            <w:tcW w:type="dxa" w:w="6960"/>
            <w:tcMar>
              <w:top w:type="dxa" w:w="80"/>
              <w:left w:type="dxa" w:w="120"/>
              <w:bottom w:type="dxa" w:w="80"/>
              <w:right w:type="dxa" w:w="120"/>
            </w:tcMar>
          </w:tcPr>
          <w:p>
            <w:pPr>
              <w:spacing w:after="60" w:line="276"/>
            </w:pPr>
            <w:r>
              <w:rPr>
                <w:sz w:val="22"/>
                <w:szCs w:val="22"/>
              </w:rPr>
              <w:t xml:space="preserve">El pluralizador de Laravel opera sobre reglas del idioma inglés y produce formas incorrectas para nombres en español: Solicitud genera solicituds y ReglaLevantamiento genera regla_levantamientos. Prácticamente todos los modelos requieren declaración explícita de tabla:</w:t>
            </w:r>
          </w:p>
          <w:p>
            <w:pPr>
              <w:spacing w:after="60" w:line="240"/>
              <w:ind w:left="360"/>
            </w:pPr>
            <w:r>
              <w:rPr>
                <w:rFonts w:ascii="Consolas" w:cs="Consolas" w:eastAsia="Consolas" w:hAnsi="Consolas"/>
                <w:sz w:val="19"/>
                <w:szCs w:val="19"/>
              </w:rPr>
              <w:t xml:space="preserve">protected $table = 'solicitudes';</w:t>
            </w:r>
          </w:p>
          <w:p>
            <w:pPr>
              <w:spacing w:after="0" w:line="276"/>
            </w:pPr>
            <w:r>
              <w:rPr>
                <w:sz w:val="22"/>
                <w:szCs w:val="22"/>
              </w:rPr>
              <w:t xml:space="preserve">Por esta razón los modelos y las migraciones se generaron mediante comandos separados, en lugar de usar la bandera que los crea de forma conjunta.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Efecto sobre la Entrada 03</w:t>
            </w:r>
          </w:p>
        </w:tc>
        <w:tc>
          <w:tcPr>
            <w:tcW w:type="dxa" w:w="6960"/>
            <w:tcMar>
              <w:top w:type="dxa" w:w="80"/>
              <w:left w:type="dxa" w:w="120"/>
              <w:bottom w:type="dxa" w:w="80"/>
              <w:right w:type="dxa" w:w="120"/>
            </w:tcMar>
          </w:tcPr>
          <w:p>
            <w:pPr>
              <w:spacing w:after="60" w:line="276"/>
            </w:pPr>
            <w:r>
              <w:rPr>
                <w:sz w:val="22"/>
                <w:szCs w:val="22"/>
              </w:rPr>
              <w:t xml:space="preserve">Esta entrada revierte parcialmente la Entrada 03. Se conserva el registro de ambas decisiones y de su fundamento: la primera priorizó la consistencia con las convenciones del framework; la segunda, la consistencia con el estándar del curso. El cambio de criterio obedece a información que no estaba disponible cuando se tomó la decisión original.</w:t>
            </w:r>
          </w:p>
          <w:p>
            <w:pPr>
              <w:spacing w:after="0" w:line="276"/>
            </w:pPr>
            <w:r>
              <w:rPr>
                <w:sz w:val="22"/>
                <w:szCs w:val="22"/>
              </w:rPr>
              <w:t xml:space="preserve">Queda sin efecto la necesidad de un glosario español-inglés mencionada en las Entradas 03 y 07.</w:t>
            </w:r>
          </w:p>
        </w:tc>
      </w:tr>
    </w:tbl>
    <w:p>
      <w:pPr>
        <w:spacing w:after="200"/>
      </w:pPr>
    </w:p>
    <w:p>
      <w:pPr>
        <w:pStyle w:val="Heading2"/>
        <w:spacing w:after="140" w:before="280"/>
      </w:pPr>
      <w:r>
        <w:rPr>
          <w:b/>
          <w:bCs/>
          <w:color w:val="1F4E79"/>
          <w:sz w:val="25"/>
          <w:szCs w:val="25"/>
        </w:rPr>
        <w:t xml:space="preserve">Entrada 12 — Estrategia de integración del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2"/>
                <w:szCs w:val="22"/>
              </w:rPr>
              <w:t xml:space="preserve">El estándar se distribuyó como script SQL ejecutable. Correspondía decidir cómo incorporarlo al proyecto sin perder la reproducibilidad del entorno.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evaluadas</w:t>
            </w:r>
          </w:p>
        </w:tc>
        <w:tc>
          <w:tcPr>
            <w:tcW w:type="dxa" w:w="6960"/>
            <w:tcMar>
              <w:top w:type="dxa" w:w="80"/>
              <w:left w:type="dxa" w:w="120"/>
              <w:bottom w:type="dxa" w:w="80"/>
              <w:right w:type="dxa" w:w="120"/>
            </w:tcMar>
          </w:tcPr>
          <w:p>
            <w:pPr>
              <w:spacing w:after="60" w:line="276"/>
            </w:pPr>
            <w:r>
              <w:rPr>
                <w:sz w:val="22"/>
                <w:szCs w:val="22"/>
              </w:rPr>
              <w:t xml:space="preserve">1. Importar el script completo en MySQL y construir las tablas propias por encima.</w:t>
            </w:r>
          </w:p>
          <w:p>
            <w:pPr>
              <w:spacing w:after="60" w:line="276"/>
            </w:pPr>
            <w:r>
              <w:rPr>
                <w:sz w:val="22"/>
                <w:szCs w:val="22"/>
              </w:rPr>
              <w:t xml:space="preserve">2. Convertir las treinta y dos tablas del estándar a migraciones de Laravel.</w:t>
            </w:r>
          </w:p>
          <w:p>
            <w:pPr>
              <w:spacing w:after="0" w:line="276"/>
            </w:pPr>
            <w:r>
              <w:rPr>
                <w:sz w:val="22"/>
                <w:szCs w:val="22"/>
              </w:rPr>
              <w:t xml:space="preserve">3. Convertir a migraciones únicamente las tablas del estándar que el módulo utiliza.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Análisis</w:t>
            </w:r>
          </w:p>
        </w:tc>
        <w:tc>
          <w:tcPr>
            <w:tcW w:type="dxa" w:w="6960"/>
            <w:tcMar>
              <w:top w:type="dxa" w:w="80"/>
              <w:left w:type="dxa" w:w="120"/>
              <w:bottom w:type="dxa" w:w="80"/>
              <w:right w:type="dxa" w:w="120"/>
            </w:tcMar>
          </w:tcPr>
          <w:p>
            <w:pPr>
              <w:spacing w:after="60" w:line="276"/>
            </w:pPr>
            <w:r>
              <w:rPr>
                <w:sz w:val="22"/>
                <w:szCs w:val="22"/>
              </w:rPr>
              <w:t xml:space="preserve">La opción 1 inutiliza el comando migrate:fresh, que elimina todas las tablas de la base y a continuación ejecuta solo las migraciones existentes: destruiría el estándar sin recrearlo. Ese comando es la herramienta habitual durante el desarrollo del esquema, y perderla a cambio de ahorrar unas horas de trabajo mecánico resulta desventajoso. Adicionalmente obligaría al segundo integrante a importar el script de forma manual.</w:t>
            </w:r>
          </w:p>
          <w:p>
            <w:pPr>
              <w:spacing w:after="0" w:line="276"/>
            </w:pPr>
            <w:r>
              <w:rPr>
                <w:sz w:val="22"/>
                <w:szCs w:val="22"/>
              </w:rPr>
              <w:t xml:space="preserve">La opción 2 conserva la reproducibilidad completa pero incorpora unas veinte migraciones de tablas que el módulo nunca consulta: docentes, atestados, grupos, horarios, aulas y asignaciones.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2"/>
                <w:szCs w:val="22"/>
              </w:rPr>
              <w:t xml:space="preserve">Opción 3. Se transcriben a migraciones las ocho tablas del estándar que el módulo emplea, respetando de forma literal sus columnas, tipos y restricciones. El resultado es un módulo reproducible desde cero con un clon del repositorio y dos comandos.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Riesgo registrado</w:t>
            </w:r>
          </w:p>
        </w:tc>
        <w:tc>
          <w:tcPr>
            <w:tcW w:type="dxa" w:w="6960"/>
            <w:tcMar>
              <w:top w:type="dxa" w:w="80"/>
              <w:left w:type="dxa" w:w="120"/>
              <w:bottom w:type="dxa" w:w="80"/>
              <w:right w:type="dxa" w:w="120"/>
            </w:tcMar>
          </w:tcPr>
          <w:p>
            <w:pPr>
              <w:spacing w:after="0" w:line="276"/>
            </w:pPr>
            <w:r>
              <w:rPr>
                <w:sz w:val="22"/>
                <w:szCs w:val="22"/>
              </w:rPr>
              <w:t xml:space="preserve">Si al final del curso los módulos se integran en una única base de datos, dos equipos con migraciones propias de carreras o cursos producirían un conflicto. Corresponde consultar al docente si esa integración está prevista.</w:t>
            </w:r>
          </w:p>
        </w:tc>
      </w:tr>
    </w:tbl>
    <w:p>
      <w:pPr>
        <w:spacing w:after="200"/>
      </w:pPr>
    </w:p>
    <w:p>
      <w:pPr>
        <w:pStyle w:val="Heading2"/>
        <w:spacing w:after="140" w:before="280"/>
      </w:pPr>
      <w:r>
        <w:rPr>
          <w:b/>
          <w:bCs/>
          <w:color w:val="1F4E79"/>
          <w:sz w:val="25"/>
          <w:szCs w:val="25"/>
        </w:rPr>
        <w:t xml:space="preserve">Entrada 13 — Créditos por curso: ampliación de una tabla del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60" w:line="276"/>
            </w:pPr>
            <w:r>
              <w:rPr>
                <w:sz w:val="22"/>
                <w:szCs w:val="22"/>
              </w:rPr>
              <w:t xml:space="preserve">La tabla cursos del estándar contiene identificador, carrera, código, nombre, un indicador de requerimiento de laboratorio y un indicador de actividad. No incluye créditos.</w:t>
            </w:r>
          </w:p>
          <w:p>
            <w:pPr>
              <w:spacing w:after="0" w:line="276"/>
            </w:pPr>
            <w:r>
              <w:rPr>
                <w:sz w:val="22"/>
                <w:szCs w:val="22"/>
              </w:rPr>
              <w:t xml:space="preserve">El segundo tipo de regla de ES-01 evalúa "créditos o cursos acumulados por encima de un umbral". Sin una columna de créditos, la primera mitad de esa regla no puede implementarse.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evaluadas</w:t>
            </w:r>
          </w:p>
        </w:tc>
        <w:tc>
          <w:tcPr>
            <w:tcW w:type="dxa" w:w="6960"/>
            <w:tcMar>
              <w:top w:type="dxa" w:w="80"/>
              <w:left w:type="dxa" w:w="120"/>
              <w:bottom w:type="dxa" w:w="80"/>
              <w:right w:type="dxa" w:w="120"/>
            </w:tcMar>
          </w:tcPr>
          <w:p>
            <w:pPr>
              <w:spacing w:after="60" w:line="276"/>
            </w:pPr>
            <w:r>
              <w:rPr>
                <w:sz w:val="22"/>
                <w:szCs w:val="22"/>
              </w:rPr>
              <w:t xml:space="preserve">1. Agregar la columna creditos a la tabla cursos del estándar.</w:t>
            </w:r>
          </w:p>
          <w:p>
            <w:pPr>
              <w:spacing w:after="60" w:line="276"/>
            </w:pPr>
            <w:r>
              <w:rPr>
                <w:sz w:val="22"/>
                <w:szCs w:val="22"/>
              </w:rPr>
              <w:t xml:space="preserve">2. Implementar únicamente la variante de cursos acumulados, amparándose en la disyuntiva del requerimiento.</w:t>
            </w:r>
          </w:p>
          <w:p>
            <w:pPr>
              <w:spacing w:after="0" w:line="276"/>
            </w:pPr>
            <w:r>
              <w:rPr>
                <w:sz w:val="22"/>
                <w:szCs w:val="22"/>
              </w:rPr>
              <w:t xml:space="preserve">3. Crear una tabla lateral que asocie curso y créditos, sin modificar el estándar.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Análisis</w:t>
            </w:r>
          </w:p>
        </w:tc>
        <w:tc>
          <w:tcPr>
            <w:tcW w:type="dxa" w:w="6960"/>
            <w:tcMar>
              <w:top w:type="dxa" w:w="80"/>
              <w:left w:type="dxa" w:w="120"/>
              <w:bottom w:type="dxa" w:w="80"/>
              <w:right w:type="dxa" w:w="120"/>
            </w:tcMar>
          </w:tcPr>
          <w:p>
            <w:pPr>
              <w:spacing w:after="60" w:line="276"/>
            </w:pPr>
            <w:r>
              <w:rPr>
                <w:sz w:val="22"/>
                <w:szCs w:val="22"/>
              </w:rPr>
              <w:t xml:space="preserve">La opción 2 cumple el requerimiento en su lectura literal, dado que este ofrece ambas variantes como alternativas. Sin embargo, entregaría un tipo de regla implementado a medias, y ante una solicitud de configurar una regla por créditos durante la defensa el sistema no podría responder. El motor de reglas es el componente de mayor peso en la rúbrica de funcionalidad.</w:t>
            </w:r>
          </w:p>
          <w:p>
            <w:pPr>
              <w:spacing w:after="0" w:line="276"/>
            </w:pPr>
            <w:r>
              <w:rPr>
                <w:sz w:val="22"/>
                <w:szCs w:val="22"/>
              </w:rPr>
              <w:t xml:space="preserve">La opción 3 evita modificar el estándar pero introduce una tabla cuya existencia responde a una restricción de procedimiento y no a una necesidad del modelo de datos, además de un join adicional en cada evaluación de la regla.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60" w:line="276"/>
            </w:pPr>
            <w:r>
              <w:rPr>
                <w:sz w:val="22"/>
                <w:szCs w:val="22"/>
              </w:rPr>
              <w:t xml:space="preserve">Opción 1. Se agrega la columna creditos a la tabla cursos.</w:t>
            </w:r>
          </w:p>
          <w:p>
            <w:pPr>
              <w:spacing w:after="0" w:line="276"/>
            </w:pPr>
            <w:r>
              <w:rPr>
                <w:sz w:val="22"/>
                <w:szCs w:val="22"/>
              </w:rPr>
              <w:t xml:space="preserve">Justificación: el estándar proviene del módulo de asignación docente, que opera con horas lectivas, aulas y especialidades, no con el progreso académico del estudiante. La ausencia de créditos no constituye una omisión del diseño sino un reflejo de que ese módulo no los requiere. El módulo de solicitudes sí los necesita, y ampliar una tabla compartida cuando un requerimiento lo exige es una operación legítima, registrada además en una migración versionada, que es el mecanismo previsto para ello.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Riesgo asociado</w:t>
            </w:r>
          </w:p>
        </w:tc>
        <w:tc>
          <w:tcPr>
            <w:tcW w:type="dxa" w:w="6960"/>
            <w:tcMar>
              <w:top w:type="dxa" w:w="80"/>
              <w:left w:type="dxa" w:w="120"/>
              <w:bottom w:type="dxa" w:w="80"/>
              <w:right w:type="dxa" w:w="120"/>
            </w:tcMar>
          </w:tcPr>
          <w:p>
            <w:pPr>
              <w:spacing w:after="0" w:line="276"/>
            </w:pPr>
            <w:r>
              <w:rPr>
                <w:sz w:val="22"/>
                <w:szCs w:val="22"/>
              </w:rPr>
              <w:t xml:space="preserve">Si los módulos se consolidan en una base común, la definición de cursos de este equipo diferirá de la del equipo de asignación docente. La diferencia es aditiva —una columna adicional, con valor por defecto— y no rompe la compatibilidad con las consultas del otro módulo. Se registra junto con la consulta pendiente sobre integración mencionada en la Entrada 12.</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2"/>
                <w:szCs w:val="22"/>
              </w:rPr>
              <w:t xml:space="preserve">Un estándar heredado no es exhaustivo respecto de necesidades que no fueron consideradas al elaborarlo. Distinguir entre lo que el estándar omite por decisión y lo que omite por no haberlo requerido permite decidir con criterio cuándo respetarlo y cuándo ampliarlo.</w:t>
            </w:r>
          </w:p>
        </w:tc>
      </w:tr>
    </w:tbl>
    <w:p>
      <w:pPr>
        <w:spacing w:after="200"/>
      </w:pPr>
    </w:p>
    <w:p>
      <w:pPr>
        <w:pStyle w:val="Heading2"/>
        <w:spacing w:after="140" w:before="280"/>
      </w:pPr>
      <w:r>
        <w:rPr>
          <w:b/>
          <w:bCs/>
          <w:color w:val="1F4E79"/>
          <w:sz w:val="25"/>
          <w:szCs w:val="25"/>
        </w:rPr>
        <w:t xml:space="preserve">Entrada 14 — Ampliación del estándar institucional y cierre de la consulta al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Las Entradas 10 y 12 registraron que el estándar recibido no contenía tablas de estudiantes, expediente académico ni solicitudes. Quedó abierta la duda de si se trataba de una base común sobre la que cada módulo agrega las suyas, o si faltaba una parte del script.</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1"/>
                <w:szCs w:val="21"/>
              </w:rPr>
              <w:t xml:space="preserve">Se pidió determinar, a partir del propio script y antes de escalar la duda, si el archivo era una base común neutral o el esquema de otro módulo.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Análisis obtenido</w:t>
            </w:r>
          </w:p>
        </w:tc>
        <w:tc>
          <w:tcPr>
            <w:tcW w:type="dxa" w:w="6960"/>
            <w:tcMar>
              <w:top w:type="dxa" w:w="80"/>
              <w:left w:type="dxa" w:w="120"/>
              <w:bottom w:type="dxa" w:w="80"/>
              <w:right w:type="dxa" w:w="120"/>
            </w:tcMar>
          </w:tcPr>
          <w:p>
            <w:pPr>
              <w:spacing w:after="120" w:line="276"/>
            </w:pPr>
            <w:r>
              <w:rPr>
                <w:sz w:val="21"/>
                <w:szCs w:val="21"/>
              </w:rPr>
              <w:t xml:space="preserve">Tres evidencias internas indicaron que el script correspondía al módulo docente y no a una base neutral:</w:t>
            </w:r>
          </w:p>
          <w:p>
            <w:pPr>
              <w:spacing w:after="120" w:line="276"/>
            </w:pPr>
            <w:r>
              <w:rPr>
                <w:sz w:val="21"/>
                <w:szCs w:val="21"/>
              </w:rPr>
              <w:t xml:space="preserve">1. El encabezado declara su alcance: "Oferta Académica (hoja ITI) y Atinencias".</w:t>
            </w:r>
          </w:p>
          <w:p>
            <w:pPr>
              <w:spacing w:after="120" w:line="276"/>
            </w:pPr>
            <w:r>
              <w:rPr>
                <w:sz w:val="21"/>
                <w:szCs w:val="21"/>
              </w:rPr>
              <w:t xml:space="preserve">2. La sección de datos semilla afirma que el RBAC está "alineado a la lógica de negocio DO-01/DO-02".</w:t>
            </w:r>
          </w:p>
          <w:p>
            <w:pPr>
              <w:spacing w:after="120" w:line="276"/>
            </w:pPr>
            <w:r>
              <w:rPr>
                <w:sz w:val="21"/>
                <w:szCs w:val="21"/>
              </w:rPr>
              <w:t xml:space="preserve">3. Los nueve permisos sembrados son todos de atinencias y oferta docente; ninguno corresponde a solicitudes.</w:t>
            </w:r>
          </w:p>
          <w:p>
            <w:pPr>
              <w:spacing w:after="0" w:line="276"/>
            </w:pPr>
            <w:r>
              <w:rPr>
                <w:sz w:val="21"/>
                <w:szCs w:val="21"/>
              </w:rPr>
              <w:t xml:space="preserve">Se concluyó que el núcleo genuinamente compartido eran las secciones 1 a 4 y 8, y que las secciones 5 a 7 pertenecían a otro módulo.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1"/>
                <w:szCs w:val="21"/>
              </w:rPr>
              <w:t xml:space="preserve">El diagnóstico y la reformulación de la pregunta. En lugar de consultar si faltaba un archivo, se preguntó si los cinco módulos comparten una única base de datos y si el equipo podía alterar tablas del núcleo.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Resultado</w:t>
            </w:r>
          </w:p>
        </w:tc>
        <w:tc>
          <w:tcPr>
            <w:tcW w:type="dxa" w:w="6960"/>
            <w:tcMar>
              <w:top w:type="dxa" w:w="80"/>
              <w:left w:type="dxa" w:w="120"/>
              <w:bottom w:type="dxa" w:w="80"/>
              <w:right w:type="dxa" w:w="120"/>
            </w:tcMar>
          </w:tcPr>
          <w:p>
            <w:pPr>
              <w:spacing w:after="0" w:line="276"/>
            </w:pPr>
            <w:r>
              <w:rPr>
                <w:sz w:val="21"/>
                <w:szCs w:val="21"/>
              </w:rPr>
              <w:t xml:space="preserve">El docente entregó un estándar ampliado de cuarenta y cinco tablas que ya incorpora la Sección 7C, Solicitudes Estudiantiles, con reglas_levantamiento, convalidaciones_historicas, solicitudes y solicitud_estados_historial; además de la Sección 4C, Repositorio Curricular, y la Sección 4D, Estudiantes.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Antes de escalar una duda conviene agotar la evidencia disponible en el propio material. La pregunta pasó de "¿falta un archivo?" a una consulta concreta sobre la propiedad del esquema, y obtuvo una respuesta accionable.</w:t>
            </w:r>
          </w:p>
        </w:tc>
      </w:tr>
    </w:tbl>
    <w:p>
      <w:pPr>
        <w:spacing w:after="200"/>
      </w:pPr>
    </w:p>
    <w:p>
      <w:pPr>
        <w:pStyle w:val="Heading2"/>
        <w:spacing w:after="140" w:before="280"/>
      </w:pPr>
      <w:r>
        <w:rPr>
          <w:b/>
          <w:bCs/>
          <w:color w:val="1F4E79"/>
          <w:sz w:val="25"/>
          <w:szCs w:val="25"/>
        </w:rPr>
        <w:t xml:space="preserve">Entrada 15 — Reversión de la Entrada 13: los créditos pertenecen al plan, no al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revertida</w:t>
            </w:r>
          </w:p>
        </w:tc>
        <w:tc>
          <w:tcPr>
            <w:tcW w:type="dxa" w:w="6960"/>
            <w:tcMar>
              <w:top w:type="dxa" w:w="80"/>
              <w:left w:type="dxa" w:w="120"/>
              <w:bottom w:type="dxa" w:w="80"/>
              <w:right w:type="dxa" w:w="120"/>
            </w:tcMar>
          </w:tcPr>
          <w:p>
            <w:pPr>
              <w:spacing w:after="0" w:line="276"/>
            </w:pPr>
            <w:r>
              <w:rPr>
                <w:sz w:val="21"/>
                <w:szCs w:val="21"/>
              </w:rPr>
              <w:t xml:space="preserve">La Entrada 13 resolvió agregar la columna creditos a la tabla cursos del estándar, por considerarla una ausencia del catálogo heredado.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del docente</w:t>
            </w:r>
          </w:p>
        </w:tc>
        <w:tc>
          <w:tcPr>
            <w:tcW w:type="dxa" w:w="6960"/>
            <w:tcMar>
              <w:top w:type="dxa" w:w="80"/>
              <w:left w:type="dxa" w:w="120"/>
              <w:bottom w:type="dxa" w:w="80"/>
              <w:right w:type="dxa" w:w="120"/>
            </w:tcMar>
          </w:tcPr>
          <w:p>
            <w:pPr>
              <w:spacing w:after="0" w:line="276"/>
            </w:pPr>
            <w:r>
              <w:rPr>
                <w:sz w:val="21"/>
                <w:szCs w:val="21"/>
              </w:rPr>
              <w:t xml:space="preserve">Rechazada por una razón de negocio, no de estilo. Un mismo curso puede valer tres créditos en un plan y cuatro en otro; con creditos en cursos ese caso es imposible de representar. Los créditos residen en curso_nivel, la tabla pivote entre curso y nivel del plan.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Consecuencia sobre ES-01</w:t>
            </w:r>
          </w:p>
        </w:tc>
        <w:tc>
          <w:tcPr>
            <w:tcW w:type="dxa" w:w="6960"/>
            <w:tcMar>
              <w:top w:type="dxa" w:w="80"/>
              <w:left w:type="dxa" w:w="120"/>
              <w:bottom w:type="dxa" w:w="80"/>
              <w:right w:type="dxa" w:w="120"/>
            </w:tcMar>
          </w:tcPr>
          <w:p>
            <w:pPr>
              <w:spacing w:after="0" w:line="276"/>
            </w:pPr>
            <w:r>
              <w:rPr>
                <w:sz w:val="21"/>
                <w:szCs w:val="21"/>
              </w:rPr>
              <w:t xml:space="preserve">La regla de créditos acumulados mayores o iguales a K se calcula mediante un join entre historial_academico y curso_nivel, filtrando por el plan en que el estudiante está matriculado. Es además el criterio académicamente correcto: los créditos que cuentan son los del plan cursado.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 del equipo identificado</w:t>
            </w:r>
          </w:p>
        </w:tc>
        <w:tc>
          <w:tcPr>
            <w:tcW w:type="dxa" w:w="6960"/>
            <w:tcMar>
              <w:top w:type="dxa" w:w="80"/>
              <w:left w:type="dxa" w:w="120"/>
              <w:bottom w:type="dxa" w:w="80"/>
              <w:right w:type="dxa" w:w="120"/>
            </w:tcMar>
          </w:tcPr>
          <w:p>
            <w:pPr>
              <w:spacing w:after="0" w:line="276"/>
            </w:pPr>
            <w:r>
              <w:rPr>
                <w:sz w:val="21"/>
                <w:szCs w:val="21"/>
              </w:rPr>
              <w:t xml:space="preserve">El análisis del equipo, y el de la IA que lo respaldó, fue correcto dentro del módulo pero ignoró una dimensión del negocio que no era visible desde él: la coexistencia de varios planes de estudio por carrera. Ninguna de las dos partes preguntó si un curso podía pertenecer a más de un plan.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Una tabla de un estándar heredado puede parecer incompleta cuando el dato falta porque pertenece a una entidad que el módulo no conoce. Ante una ampliación aparentemente obvia, la pregunta previa es qué otras entidades tocan ese dato.</w:t>
            </w:r>
          </w:p>
        </w:tc>
      </w:tr>
    </w:tbl>
    <w:p>
      <w:pPr>
        <w:spacing w:after="200"/>
      </w:pPr>
    </w:p>
    <w:p>
      <w:pPr>
        <w:pStyle w:val="Heading2"/>
        <w:spacing w:after="140" w:before="280"/>
      </w:pPr>
      <w:r>
        <w:rPr>
          <w:b/>
          <w:bCs/>
          <w:color w:val="1F4E79"/>
          <w:sz w:val="25"/>
          <w:szCs w:val="25"/>
        </w:rPr>
        <w:t xml:space="preserve">Entrada 16 — Rechazo del patrón de herencia por tablas en solicitudes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Diseño propuesto</w:t>
            </w:r>
          </w:p>
        </w:tc>
        <w:tc>
          <w:tcPr>
            <w:tcW w:type="dxa" w:w="6960"/>
            <w:tcMar>
              <w:top w:type="dxa" w:w="80"/>
              <w:left w:type="dxa" w:w="120"/>
              <w:bottom w:type="dxa" w:w="80"/>
              <w:right w:type="dxa" w:w="120"/>
            </w:tcMar>
          </w:tcPr>
          <w:p>
            <w:pPr>
              <w:spacing w:after="0" w:line="276"/>
            </w:pPr>
            <w:r>
              <w:rPr>
                <w:sz w:val="21"/>
                <w:szCs w:val="21"/>
              </w:rPr>
              <w:t xml:space="preserve">El equipo dividió la solicitud en tres tablas: solicitudes como base, más solicitudes_levantamiento y solicitudes_convalidacion para los atributos propios de cada tipo. El objetivo era evitar columnas NULL y mantener claves foráneas obligatorias en su contexto.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del docente</w:t>
            </w:r>
          </w:p>
        </w:tc>
        <w:tc>
          <w:tcPr>
            <w:tcW w:type="dxa" w:w="6960"/>
            <w:tcMar>
              <w:top w:type="dxa" w:w="80"/>
              <w:left w:type="dxa" w:w="120"/>
              <w:bottom w:type="dxa" w:w="80"/>
              <w:right w:type="dxa" w:w="120"/>
            </w:tcMar>
          </w:tcPr>
          <w:p>
            <w:pPr>
              <w:spacing w:after="0" w:line="276"/>
            </w:pPr>
            <w:r>
              <w:rPr>
                <w:sz w:val="21"/>
                <w:szCs w:val="21"/>
              </w:rPr>
              <w:t xml:space="preserve">Reconoció el diseño como defendible —es el patrón de herencia por tablas— pero lo rechazó por el costo de la lectura crítica. La bandeja centralizada de ES-04 es la pantalla más usada del módulo y lista ambos tipos juntos, filtrados y ordenados por fecha. Con tabla única es una consulta sobre un índice; con tres tablas sería un UNION en cada carga.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Verificación realizada</w:t>
            </w:r>
          </w:p>
        </w:tc>
        <w:tc>
          <w:tcPr>
            <w:tcW w:type="dxa" w:w="6960"/>
            <w:tcMar>
              <w:top w:type="dxa" w:w="80"/>
              <w:left w:type="dxa" w:w="120"/>
              <w:bottom w:type="dxa" w:w="80"/>
              <w:right w:type="dxa" w:w="120"/>
            </w:tcMar>
          </w:tcPr>
          <w:p>
            <w:pPr>
              <w:spacing w:after="0" w:line="276"/>
            </w:pPr>
            <w:r>
              <w:rPr>
                <w:sz w:val="21"/>
                <w:szCs w:val="21"/>
              </w:rPr>
              <w:t xml:space="preserve">Se comprobó en el estándar ampliado que el índice solicitudes_bandeja_index sobre (tipo, estado, created_at) existe y está construido exactamente para ese acceso, y que los campos de ambos tipos conviven como columnas nulables en una sola tabla.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1"/>
                <w:szCs w:val="21"/>
              </w:rPr>
              <w:t xml:space="preserve">La decisión completa, sin objeción. El argumento no era de estilo sino de costo medible sobre la consulta más frecuente del módulo.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La normalización no es un valor absoluto. Ante una elección entre pureza estructural y el costo de la consulta que más se ejecuta, la instrucción recibida fue medir primero y decidir después.</w:t>
            </w:r>
          </w:p>
        </w:tc>
      </w:tr>
    </w:tbl>
    <w:p>
      <w:pPr>
        <w:spacing w:after="200"/>
      </w:pPr>
    </w:p>
    <w:p>
      <w:pPr>
        <w:pStyle w:val="Heading2"/>
        <w:spacing w:after="140" w:before="280"/>
      </w:pPr>
      <w:r>
        <w:rPr>
          <w:b/>
          <w:bCs/>
          <w:color w:val="1F4E79"/>
          <w:sz w:val="25"/>
          <w:szCs w:val="25"/>
        </w:rPr>
        <w:t xml:space="preserve">Entrada 17 — Eliminación de levantamientos_otorgados: un argumento correcto sobre una premisa equivocada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El equipo diseñó levantamientos_otorgados, una tabla con restricción UNIQUE sobre la tripleta (estudiante, curso, requisito), para resolver desde la base la detección de duplicados que exige ES-01.</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1"/>
                <w:szCs w:val="21"/>
              </w:rPr>
              <w:t xml:space="preserve">Se preguntó si la tabla era redundante frente a solicitudes y si podía fusionarse con ella.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Respuesta obtenida</w:t>
            </w:r>
          </w:p>
        </w:tc>
        <w:tc>
          <w:tcPr>
            <w:tcW w:type="dxa" w:w="6960"/>
            <w:tcMar>
              <w:top w:type="dxa" w:w="80"/>
              <w:left w:type="dxa" w:w="120"/>
              <w:bottom w:type="dxa" w:w="80"/>
              <w:right w:type="dxa" w:w="120"/>
            </w:tcMar>
          </w:tcPr>
          <w:p>
            <w:pPr>
              <w:spacing w:after="0" w:line="276"/>
            </w:pPr>
            <w:r>
              <w:rPr>
                <w:sz w:val="21"/>
                <w:szCs w:val="21"/>
              </w:rPr>
              <w:t xml:space="preserve">La IA sostuvo que no era fusionable, con este argumento: la restricción debía aplicar solo a las solicitudes aprobadas, porque una solicitud denegada tiene que poder volver a presentarse; expresar eso exigiría un índice único filtrado, que PostgreSQL admite y MySQL 8 no. Concluyó que en MySQL la tabla separada era la única forma de garantizar la restricción desde la base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Error de la IA detectado</w:t>
            </w:r>
          </w:p>
        </w:tc>
        <w:tc>
          <w:tcPr>
            <w:tcW w:type="dxa" w:w="6960"/>
            <w:tcMar>
              <w:top w:type="dxa" w:w="80"/>
              <w:left w:type="dxa" w:w="120"/>
              <w:bottom w:type="dxa" w:w="80"/>
              <w:right w:type="dxa" w:w="120"/>
            </w:tcMar>
          </w:tcPr>
          <w:p>
            <w:pPr>
              <w:spacing w:after="0" w:line="276"/>
            </w:pPr>
            <w:r>
              <w:rPr>
                <w:sz w:val="21"/>
                <w:szCs w:val="21"/>
              </w:rPr>
              <w:t xml:space="preserve">El argumento sobre los índices filtrados es técnicamente cierto, pero resuelve un problema que el requerimiento no plantea. ES-01 establece que el sistema verifica "si el mismo requisito ya fue reconocido previamente para ese estudiante": el criterio es el par (estudiante, requisito), no la tripleta que la IA defendía. La restricción que se estaba justificando era más estricta que la exigida, y la tabla que la sostenía, innecesaria.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del docente</w:t>
            </w:r>
          </w:p>
        </w:tc>
        <w:tc>
          <w:tcPr>
            <w:tcW w:type="dxa" w:w="6960"/>
            <w:tcMar>
              <w:top w:type="dxa" w:w="80"/>
              <w:left w:type="dxa" w:w="120"/>
              <w:bottom w:type="dxa" w:w="80"/>
              <w:right w:type="dxa" w:w="120"/>
            </w:tcMar>
          </w:tcPr>
          <w:p>
            <w:pPr>
              <w:spacing w:after="0" w:line="276"/>
            </w:pPr>
            <w:r>
              <w:rPr>
                <w:sz w:val="21"/>
                <w:szCs w:val="21"/>
              </w:rPr>
              <w:t xml:space="preserve">La tabla no aplica. Un levantamiento concedido ya queda registrado dos veces: como solicitud en estado Aprobada y como fila de historial_academico con estado "Requisito levantado". Una tercera tabla con la misma información es duplicación, y toda duplicación termina desincronizándose. La detección de duplicados es una consulta previa sobre solicitudes, cubierta por el índice solicitudes_estudiante_index, y la validación corresponde a la capa de aplicación.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Consecuencia asumida</w:t>
            </w:r>
          </w:p>
        </w:tc>
        <w:tc>
          <w:tcPr>
            <w:tcW w:type="dxa" w:w="6960"/>
            <w:tcMar>
              <w:top w:type="dxa" w:w="80"/>
              <w:left w:type="dxa" w:w="120"/>
              <w:bottom w:type="dxa" w:w="80"/>
              <w:right w:type="dxa" w:w="120"/>
            </w:tcMar>
          </w:tcPr>
          <w:p>
            <w:pPr>
              <w:spacing w:after="0" w:line="276"/>
            </w:pPr>
            <w:r>
              <w:rPr>
                <w:sz w:val="21"/>
                <w:szCs w:val="21"/>
              </w:rPr>
              <w:t xml:space="preserve">Al trasladar la validación a la aplicación, la base deja de ofrecer una red de seguridad ante un defecto de programación. Como la detección de duplicados es un criterio de aceptación evaluable, queda registrada como caso obligatorio de las pruebas unitarias del módulo.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El error no fue una imprecisión técnica sino un desplazamiento del problema: la IA construyó una justificación sólida para una restricción que el equipo había definido mal al leer el requerimiento. Un argumento correcto sobre una premisa equivocada es más difícil de detectar que un error factual, porque el razonamiento resiste la verificación y el resultado igual está mal. La comprobación que faltó fue volver al texto del requerimiento antes de aceptar la defensa.</w:t>
            </w:r>
          </w:p>
        </w:tc>
      </w:tr>
    </w:tbl>
    <w:p>
      <w:pPr>
        <w:spacing w:after="200"/>
      </w:pPr>
    </w:p>
    <w:p>
      <w:pPr>
        <w:pStyle w:val="Heading2"/>
        <w:spacing w:after="140" w:before="280"/>
      </w:pPr>
      <w:r>
        <w:rPr>
          <w:b/>
          <w:bCs/>
          <w:color w:val="1F4E79"/>
          <w:sz w:val="25"/>
          <w:szCs w:val="25"/>
        </w:rPr>
        <w:t xml:space="preserve">Entrada 18 — Bitácora de estados: la única propuesta del equipo incorporada al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El equipo diseñó cambios_estado con una columna comentario, para registrar la justificación de cada cambio además del usuario y la fecha que exige ES-03.</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del docente</w:t>
            </w:r>
          </w:p>
        </w:tc>
        <w:tc>
          <w:tcPr>
            <w:tcW w:type="dxa" w:w="6960"/>
            <w:tcMar>
              <w:top w:type="dxa" w:w="80"/>
              <w:left w:type="dxa" w:w="120"/>
              <w:bottom w:type="dxa" w:w="80"/>
              <w:right w:type="dxa" w:w="120"/>
            </w:tcMar>
          </w:tcPr>
          <w:p>
            <w:pPr>
              <w:spacing w:after="0" w:line="276"/>
            </w:pPr>
            <w:r>
              <w:rPr>
                <w:sz w:val="21"/>
                <w:szCs w:val="21"/>
              </w:rPr>
              <w:t xml:space="preserve">Aceptada. La bitácora del estándar registraba usuario y fecha, pero no el motivo del cambio. Una solicitud denegada sin justificación escrita es indefendible cuando el estudiante reclama.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Incorporación al estándar</w:t>
            </w:r>
          </w:p>
        </w:tc>
        <w:tc>
          <w:tcPr>
            <w:tcW w:type="dxa" w:w="6960"/>
            <w:tcMar>
              <w:top w:type="dxa" w:w="80"/>
              <w:left w:type="dxa" w:w="120"/>
              <w:bottom w:type="dxa" w:w="80"/>
              <w:right w:type="dxa" w:w="120"/>
            </w:tcMar>
          </w:tcPr>
          <w:p>
            <w:pPr>
              <w:spacing w:after="0" w:line="276"/>
            </w:pPr>
            <w:r>
              <w:rPr>
                <w:sz w:val="21"/>
                <w:szCs w:val="21"/>
              </w:rPr>
              <w:t xml:space="preserve">Se agregó la columna comentario a solicitud_estados_historial, con obligatoriedad en las denegaciones exigida desde la capa de aplicación. El estándar añadió además notificado_at, que registra el momento del correo al estudiante y cubre esa salida de ES-03 sin necesidad de una tabla de notificaciones aparte.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Origen de la propuesta</w:t>
            </w:r>
          </w:p>
        </w:tc>
        <w:tc>
          <w:tcPr>
            <w:tcW w:type="dxa" w:w="6960"/>
            <w:tcMar>
              <w:top w:type="dxa" w:w="80"/>
              <w:left w:type="dxa" w:w="120"/>
              <w:bottom w:type="dxa" w:w="80"/>
              <w:right w:type="dxa" w:w="120"/>
            </w:tcMar>
          </w:tcPr>
          <w:p>
            <w:pPr>
              <w:spacing w:after="0" w:line="276"/>
            </w:pPr>
            <w:r>
              <w:rPr>
                <w:sz w:val="21"/>
                <w:szCs w:val="21"/>
              </w:rPr>
              <w:t xml:space="preserve">La observación no surgió de un análisis técnico ni de una sugerencia de la IA, sino de la lectura literal del criterio de aceptación de ES-03. El equipo advirtió que registrar el cambio sin el motivo no permite defender la resolución ante un reclamo.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De cuatro propuestas presentadas al docente, tres fueron rechazadas y la única aceptada fue la que surgió de leer el requerimiento con atención, no la que surgió de aplicar un patrón de diseño conocido.</w:t>
            </w:r>
          </w:p>
        </w:tc>
      </w:tr>
    </w:tbl>
    <w:p>
      <w:pPr>
        <w:spacing w:after="200"/>
      </w:pPr>
    </w:p>
    <w:p>
      <w:pPr>
        <w:pStyle w:val="Heading2"/>
        <w:spacing w:after="140" w:before="280"/>
      </w:pPr>
      <w:r>
        <w:rPr>
          <w:b/>
          <w:bCs/>
          <w:color w:val="1F4E79"/>
          <w:sz w:val="25"/>
          <w:szCs w:val="25"/>
        </w:rPr>
        <w:t xml:space="preserve">Entrada 19 — Reinicio del esquema local y reconstrucción desde el estándar ampliado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El estándar ampliado sustituye a las diez tablas propias definidas en la Entrada 12. Siete cambian de nombre o de estructura y una desaparece.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Correspondencia registrada</w:t>
            </w:r>
          </w:p>
        </w:tc>
        <w:tc>
          <w:tcPr>
            <w:tcW w:type="dxa" w:w="6960"/>
            <w:tcMar>
              <w:top w:type="dxa" w:w="80"/>
              <w:left w:type="dxa" w:w="120"/>
              <w:bottom w:type="dxa" w:w="80"/>
              <w:right w:type="dxa" w:w="120"/>
            </w:tcMar>
          </w:tcPr>
          <w:p>
            <w:pPr>
              <w:spacing w:after="120" w:line="276"/>
            </w:pPr>
            <w:r>
              <w:rPr>
                <w:sz w:val="21"/>
                <w:szCs w:val="21"/>
              </w:rPr>
              <w:t xml:space="preserve">estudiantes: existe en el estándar, sin carrera_id ni plan_terminal.</w:t>
            </w:r>
          </w:p>
          <w:p>
            <w:pPr>
              <w:spacing w:after="120" w:line="276"/>
            </w:pPr>
            <w:r>
              <w:rPr>
                <w:sz w:val="21"/>
                <w:szCs w:val="21"/>
              </w:rPr>
              <w:t xml:space="preserve">requisitos_cursos pasa a requisitos, ahora delimitada por plan de estudio.</w:t>
            </w:r>
          </w:p>
          <w:p>
            <w:pPr>
              <w:spacing w:after="120" w:line="276"/>
            </w:pPr>
            <w:r>
              <w:rPr>
                <w:sz w:val="21"/>
                <w:szCs w:val="21"/>
              </w:rPr>
              <w:t xml:space="preserve">expedientes_academicos pasa a historial_academico.</w:t>
            </w:r>
          </w:p>
          <w:p>
            <w:pPr>
              <w:spacing w:after="120" w:line="276"/>
            </w:pPr>
            <w:r>
              <w:rPr>
                <w:sz w:val="21"/>
                <w:szCs w:val="21"/>
              </w:rPr>
              <w:t xml:space="preserve">reglas_levantamiento: existe en el estándar, con los parámetros en columnas explícitas.</w:t>
            </w:r>
          </w:p>
          <w:p>
            <w:pPr>
              <w:spacing w:after="120" w:line="276"/>
            </w:pPr>
            <w:r>
              <w:rPr>
                <w:sz w:val="21"/>
                <w:szCs w:val="21"/>
              </w:rPr>
              <w:t xml:space="preserve">catalogos_convalidacion pasa a convalidaciones_historicas.</w:t>
            </w:r>
          </w:p>
          <w:p>
            <w:pPr>
              <w:spacing w:after="120" w:line="276"/>
            </w:pPr>
            <w:r>
              <w:rPr>
                <w:sz w:val="21"/>
                <w:szCs w:val="21"/>
              </w:rPr>
              <w:t xml:space="preserve">solicitudes, solicitudes_levantamiento y solicitudes_convalidacion se unifican en solicitudes.</w:t>
            </w:r>
          </w:p>
          <w:p>
            <w:pPr>
              <w:spacing w:after="120" w:line="276"/>
            </w:pPr>
            <w:r>
              <w:rPr>
                <w:sz w:val="21"/>
                <w:szCs w:val="21"/>
              </w:rPr>
              <w:t xml:space="preserve">cambios_estado pasa a solicitud_estados_historial.</w:t>
            </w:r>
          </w:p>
          <w:p>
            <w:pPr>
              <w:spacing w:after="0" w:line="276"/>
            </w:pPr>
            <w:r>
              <w:rPr>
                <w:sz w:val="21"/>
                <w:szCs w:val="21"/>
              </w:rPr>
              <w:t xml:space="preserve">levantamientos_otorgados se elimina.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1"/>
                <w:szCs w:val="21"/>
              </w:rPr>
              <w:t xml:space="preserve">Se eliminan las dieciocho migraciones del módulo, los dieciséis modelos, las dieciséis factories y los seis seeders creados en las Entradas 06, 07 y 12, conservando solo los artefactos base de Laravel. La base de datos local se destruye y se recrea vacía. El esquema se reconstruye desde el estándar ampliado.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Por qué no se editaron</w:t>
            </w:r>
          </w:p>
        </w:tc>
        <w:tc>
          <w:tcPr>
            <w:tcW w:type="dxa" w:w="6960"/>
            <w:tcMar>
              <w:top w:type="dxa" w:w="80"/>
              <w:left w:type="dxa" w:w="120"/>
              <w:bottom w:type="dxa" w:w="80"/>
              <w:right w:type="dxa" w:w="120"/>
            </w:tcMar>
          </w:tcPr>
          <w:p>
            <w:pPr>
              <w:spacing w:after="0" w:line="276"/>
            </w:pPr>
            <w:r>
              <w:rPr>
                <w:sz w:val="21"/>
                <w:szCs w:val="21"/>
              </w:rPr>
              <w:t xml:space="preserve">Se descartó modificar las migraciones existentes. Con siete tablas renombradas y una eliminada, editar habría dejado archivos cuyo nombre no corresponde a su contenido, lo que vuelve confuso auditar el historial de Git y contradice la convención adoptada en la Entrada 03.</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Commit asociado</w:t>
            </w:r>
          </w:p>
        </w:tc>
        <w:tc>
          <w:tcPr>
            <w:tcW w:type="dxa" w:w="6960"/>
            <w:tcMar>
              <w:top w:type="dxa" w:w="80"/>
              <w:left w:type="dxa" w:w="120"/>
              <w:bottom w:type="dxa" w:w="80"/>
              <w:right w:type="dxa" w:w="120"/>
            </w:tcMar>
          </w:tcPr>
          <w:p>
            <w:pPr>
              <w:spacing w:after="0" w:line="276"/>
            </w:pPr>
            <w:r>
              <w:rPr>
                <w:sz w:val="21"/>
                <w:szCs w:val="21"/>
              </w:rPr>
              <w:t xml:space="preserve">refactor(db): remove module schema to rebuild on expanded standard</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La regla adoptada en la Entrada 06 —construir el esquema mediante migraciones versionadas para poder rehacerlo sin costo— se validó en la práctica. El reinicio tomó minutos porque ninguna migración se había ejecutado en un entorno compartido ni contenía datos que preservar. Rehacer temprano es barato; el costo aparece cuando otro equipo ya ejecutó el esquema.</w:t>
            </w:r>
          </w:p>
        </w:tc>
      </w:tr>
    </w:tbl>
    <w:p>
      <w:pPr>
        <w:spacing w:after="200"/>
      </w:pPr>
    </w:p>
    <w:p>
      <w:pPr>
        <w:pStyle w:val="Heading2"/>
        <w:spacing w:after="140" w:before="280"/>
      </w:pPr>
      <w:r>
        <w:rPr>
          <w:b/>
          <w:bCs/>
          <w:color w:val="1F4E79"/>
          <w:sz w:val="25"/>
          <w:szCs w:val="25"/>
        </w:rPr>
        <w:t xml:space="preserve">Entrada 20 — Inquietudes abiertas sobre el estándar ampliado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Recibido el estándar ampliado, se contrastó contra los criterios de aceptación de ES-01 a ES-04 para identificar puntos sin resolver antes de escribir las migraciones.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Observación 1</w:t>
            </w:r>
          </w:p>
        </w:tc>
        <w:tc>
          <w:tcPr>
            <w:tcW w:type="dxa" w:w="6960"/>
            <w:tcMar>
              <w:top w:type="dxa" w:w="80"/>
              <w:left w:type="dxa" w:w="120"/>
              <w:bottom w:type="dxa" w:w="80"/>
              <w:right w:type="dxa" w:w="120"/>
            </w:tcMar>
          </w:tcPr>
          <w:p>
            <w:pPr>
              <w:spacing w:after="0" w:line="276"/>
            </w:pPr>
            <w:r>
              <w:rPr>
                <w:sz w:val="21"/>
                <w:szCs w:val="21"/>
              </w:rPr>
              <w:t xml:space="preserve">No existe permiso para configurar reglas. Los dieciséis permisos sembrados incluyen solicitudes.crear y solicitudes.revisar, pero ninguno cubre la pantalla de configuración de reglas_levantamiento, que ES-01 asigna a la Coordinadora de Docencia y que constituye un rubro propio de la rúbrica de funcionalidad.</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Observación 2</w:t>
            </w:r>
          </w:p>
        </w:tc>
        <w:tc>
          <w:tcPr>
            <w:tcW w:type="dxa" w:w="6960"/>
            <w:tcMar>
              <w:top w:type="dxa" w:w="80"/>
              <w:left w:type="dxa" w:w="120"/>
              <w:bottom w:type="dxa" w:w="80"/>
              <w:right w:type="dxa" w:w="120"/>
            </w:tcMar>
          </w:tcPr>
          <w:p>
            <w:pPr>
              <w:spacing w:after="0" w:line="276"/>
            </w:pPr>
            <w:r>
              <w:rPr>
                <w:sz w:val="21"/>
                <w:szCs w:val="21"/>
              </w:rPr>
              <w:t xml:space="preserve">El filtro por carrera de ES-04 carece de ruta directa. La tabla estudiantes no tiene carrera_id: la carrera se obtiene recorriendo solicitudes, estudiantes, estudiante_plan y planes_estudio, es decir tres joins. La ruta alterna por cursos.carrera_id no es fiable, porque esa columna admite NULL en los cursos de servicio transversales. Además estudiante_plan admite varios planes por estudiante, de modo que la carrera no es un valor único.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Observación 3</w:t>
            </w:r>
          </w:p>
        </w:tc>
        <w:tc>
          <w:tcPr>
            <w:tcW w:type="dxa" w:w="6960"/>
            <w:tcMar>
              <w:top w:type="dxa" w:w="80"/>
              <w:left w:type="dxa" w:w="120"/>
              <w:bottom w:type="dxa" w:w="80"/>
              <w:right w:type="dxa" w:w="120"/>
            </w:tcMar>
          </w:tcPr>
          <w:p>
            <w:pPr>
              <w:spacing w:after="0" w:line="276"/>
            </w:pPr>
            <w:r>
              <w:rPr>
                <w:sz w:val="21"/>
                <w:szCs w:val="21"/>
              </w:rPr>
              <w:t xml:space="preserve">La fecha estimada asignada automáticamente no se distingue de la ingresada por el revisor. El criterio de aceptación de ES-03 exige que el sistema asigne cinco días hábiles si no se ingresa fecha en veinticuatro horas; el estándar conserva fecha_estimada_resolucion pero no un indicador de cómo se asignó, lo que dificulta demostrar el cumplimiento en la defensa.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Observación 4</w:t>
            </w:r>
          </w:p>
        </w:tc>
        <w:tc>
          <w:tcPr>
            <w:tcW w:type="dxa" w:w="6960"/>
            <w:tcMar>
              <w:top w:type="dxa" w:w="80"/>
              <w:left w:type="dxa" w:w="120"/>
              <w:bottom w:type="dxa" w:w="80"/>
              <w:right w:type="dxa" w:w="120"/>
            </w:tcMar>
          </w:tcPr>
          <w:p>
            <w:pPr>
              <w:spacing w:after="0" w:line="276"/>
            </w:pPr>
            <w:r>
              <w:rPr>
                <w:sz w:val="21"/>
                <w:szCs w:val="21"/>
              </w:rPr>
              <w:t xml:space="preserve">La tabla convalidaciones_historicas no tiene restricción de unicidad sobre institucion, curso_externo y curso_id, por lo que pueden coexistir precedentes contradictorios para la misma combinación que ES-02 debe consultar.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Estado</w:t>
            </w:r>
          </w:p>
        </w:tc>
        <w:tc>
          <w:tcPr>
            <w:tcW w:type="dxa" w:w="6960"/>
            <w:tcMar>
              <w:top w:type="dxa" w:w="80"/>
              <w:left w:type="dxa" w:w="120"/>
              <w:bottom w:type="dxa" w:w="80"/>
              <w:right w:type="dxa" w:w="120"/>
            </w:tcMar>
          </w:tcPr>
          <w:p>
            <w:pPr>
              <w:spacing w:after="0" w:line="276"/>
            </w:pPr>
            <w:r>
              <w:rPr>
                <w:sz w:val="21"/>
                <w:szCs w:val="21"/>
              </w:rPr>
              <w:t xml:space="preserve">Consultas abiertas, pendientes de plantear al docente antes de escribir las migraciones definitivas.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Un estándar recibido se audita contra los criterios de aceptación antes de implementarlo. Detectar estos cuatro puntos después de escribir las migraciones habría significado reescribirlas por segunda vez.</w:t>
            </w:r>
          </w:p>
        </w:tc>
      </w:tr>
    </w:tbl>
    <w:p>
      <w:pPr>
        <w:spacing w:after="200"/>
      </w:pPr>
    </w:p>
    <w:p>
      <w:pPr>
        <w:pStyle w:val="Heading2"/>
        <w:spacing w:after="140" w:before="280"/>
      </w:pPr>
      <w:r>
        <w:rPr>
          <w:b/>
          <w:bCs/>
          <w:color w:val="1F4E79"/>
          <w:sz w:val="25"/>
          <w:szCs w:val="25"/>
        </w:rPr>
        <w:t xml:space="preserve">Entrada 21 — Alcance de la transcripción del estándar a migraciones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Recibido el estándar de cuarenta y cinco tablas, correspondía decidir cuántas transcribir a migraciones de Laravel. Las tablas propias del módulo son cuatro, las de la Sección 7C, pero ninguna se sostiene sola: solicitudes exige estudiantes y cursos, el motor de ES-01 exige historial_academico, curso_nivel y estudiante_plan, y los adjuntos exigen archivos.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Opciones evaluadas</w:t>
            </w:r>
          </w:p>
        </w:tc>
        <w:tc>
          <w:tcPr>
            <w:tcW w:type="dxa" w:w="6960"/>
            <w:tcMar>
              <w:top w:type="dxa" w:w="80"/>
              <w:left w:type="dxa" w:w="120"/>
              <w:bottom w:type="dxa" w:w="80"/>
              <w:right w:type="dxa" w:w="120"/>
            </w:tcMar>
          </w:tcPr>
          <w:p>
            <w:pPr>
              <w:spacing w:after="120" w:line="276"/>
            </w:pPr>
            <w:r>
              <w:rPr>
                <w:sz w:val="21"/>
                <w:szCs w:val="21"/>
              </w:rPr>
              <w:t xml:space="preserve">1. Solo las cuatro del módulo, importando el resto del script aparte. Descartada: rompe migrate:fresh y contradice la Entrada 12.</w:t>
            </w:r>
          </w:p>
          <w:p>
            <w:pPr>
              <w:spacing w:after="120" w:line="276"/>
            </w:pPr>
            <w:r>
              <w:rPr>
                <w:sz w:val="21"/>
                <w:szCs w:val="21"/>
              </w:rPr>
              <w:t xml:space="preserve">2. Las cuarenta y cinco del estándar. Descartada: veintitrés migraciones de tablas que el módulo nunca usa (aulas, horarios, atestados, reservas, atinencias).</w:t>
            </w:r>
          </w:p>
          <w:p>
            <w:pPr>
              <w:spacing w:after="0" w:line="276"/>
            </w:pPr>
            <w:r>
              <w:rPr>
                <w:sz w:val="21"/>
                <w:szCs w:val="21"/>
              </w:rPr>
              <w:t xml:space="preserve">3. Cierre funcional: las cuatro del módulo más sus dependencias transitivas.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1"/>
                <w:szCs w:val="21"/>
              </w:rPr>
              <w:t xml:space="preserve">Opción 3. Veintiún migraciones nuevas más la reescritura de users: el RBAC completo, carreras, cursos, periodos_academicos, el repositorio curricular (planes_estudio, niveles, curso_nivel, requisitos, equiparaciones), estudiantes, estudiante_plan, historial_academico, archivos y las cuatro de la Sección 7C.</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sobre users</w:t>
            </w:r>
          </w:p>
        </w:tc>
        <w:tc>
          <w:tcPr>
            <w:tcW w:type="dxa" w:w="6960"/>
            <w:tcMar>
              <w:top w:type="dxa" w:w="80"/>
              <w:left w:type="dxa" w:w="120"/>
              <w:bottom w:type="dxa" w:w="80"/>
              <w:right w:type="dxa" w:w="120"/>
            </w:tcMar>
          </w:tcPr>
          <w:p>
            <w:pPr>
              <w:spacing w:after="0" w:line="276"/>
            </w:pPr>
            <w:r>
              <w:rPr>
                <w:sz w:val="21"/>
                <w:szCs w:val="21"/>
              </w:rPr>
              <w:t xml:space="preserve">Se restauraron two_factor_secret, two_factor_recovery_codes, two_factor_confirmed_at y la tabla passkeys, retiradas en el avance anterior por no usarse con JWT. Quedan sin uso, pero evitan que users diverja del núcleo compartido si los módulos se consolidan.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Verificación aplicada</w:t>
            </w:r>
          </w:p>
        </w:tc>
        <w:tc>
          <w:tcPr>
            <w:tcW w:type="dxa" w:w="6960"/>
            <w:tcMar>
              <w:top w:type="dxa" w:w="80"/>
              <w:left w:type="dxa" w:w="120"/>
              <w:bottom w:type="dxa" w:w="80"/>
              <w:right w:type="dxa" w:w="120"/>
            </w:tcMar>
          </w:tcPr>
          <w:p>
            <w:pPr>
              <w:spacing w:after="0" w:line="276"/>
            </w:pPr>
            <w:r>
              <w:rPr>
                <w:sz w:val="21"/>
                <w:szCs w:val="21"/>
              </w:rPr>
              <w:t xml:space="preserve">Se contrastaron las migraciones contra el script columna por columna y por nombre de restricción: los noventa y siete índices, claves foráneas y CHECK coinciden exactamente, sin faltantes ni sobrantes. Se comprobó además que ninguna clave foránea apunta a una tabla creada en una migración posterior.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Fidelidad deliberada</w:t>
            </w:r>
          </w:p>
        </w:tc>
        <w:tc>
          <w:tcPr>
            <w:tcW w:type="dxa" w:w="6960"/>
            <w:tcMar>
              <w:top w:type="dxa" w:w="80"/>
              <w:left w:type="dxa" w:w="120"/>
              <w:bottom w:type="dxa" w:w="80"/>
              <w:right w:type="dxa" w:w="120"/>
            </w:tcMar>
          </w:tcPr>
          <w:p>
            <w:pPr>
              <w:spacing w:after="0" w:line="276"/>
            </w:pPr>
            <w:r>
              <w:rPr>
                <w:sz w:val="21"/>
                <w:szCs w:val="21"/>
              </w:rPr>
              <w:t xml:space="preserve">Se reprodujeron también las cuatro carencias registradas en la Entrada 20: no se agregó el permiso de configuración de reglas, ni el indicador de fecha automática, ni la unicidad de convalidaciones_historicas. Desviarse del estándar por criterio propio fue exactamente lo que ocurrió con cursos.creditos. Si el docente aprueba esos puntos, entrarán como migraciones ALTER separadas, visibles en el historial.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El alcance de un trabajo derivado no lo fija la lista de entidades propias sino la cadena de dependencias que necesitan para funcionar. Calcularla antes de escribir evitó descubrir a mitad del trabajo que faltaba media docena de tablas.</w:t>
            </w:r>
          </w:p>
        </w:tc>
      </w:tr>
    </w:tbl>
    <w:p>
      <w:pPr>
        <w:spacing w:after="200"/>
      </w:pPr>
    </w:p>
    <w:p>
      <w:pPr>
        <w:pStyle w:val="Heading2"/>
        <w:spacing w:after="140" w:before="280"/>
      </w:pPr>
      <w:r>
        <w:rPr>
          <w:b/>
          <w:bCs/>
          <w:color w:val="1F4E79"/>
          <w:sz w:val="25"/>
          <w:szCs w:val="25"/>
        </w:rPr>
        <w:t xml:space="preserve">Entrada 22 — Modelos Eloquent y el pluralizador inglés sobre nombres en español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La Entrada 11 registró como consecuencia técnica prevista que el pluralizador de Laravel opera con reglas del idioma inglés. Al escribir los dieciocho modelos, la previsión se materializó.</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Casos detectados</w:t>
            </w:r>
          </w:p>
        </w:tc>
        <w:tc>
          <w:tcPr>
            <w:tcW w:type="dxa" w:w="6960"/>
            <w:tcMar>
              <w:top w:type="dxa" w:w="80"/>
              <w:left w:type="dxa" w:w="120"/>
              <w:bottom w:type="dxa" w:w="80"/>
              <w:right w:type="dxa" w:w="120"/>
            </w:tcMar>
          </w:tcPr>
          <w:p>
            <w:pPr>
              <w:spacing w:after="120" w:line="276"/>
            </w:pPr>
            <w:r>
              <w:rPr>
                <w:sz w:val="21"/>
                <w:szCs w:val="21"/>
              </w:rPr>
              <w:t xml:space="preserve">Nivel resuelve «nivels» en lugar de niveles.</w:t>
            </w:r>
          </w:p>
          <w:p>
            <w:pPr>
              <w:spacing w:after="120" w:line="276"/>
            </w:pPr>
            <w:r>
              <w:rPr>
                <w:sz w:val="21"/>
                <w:szCs w:val="21"/>
              </w:rPr>
              <w:t xml:space="preserve">Solicitud resuelve «solicituds» en lugar de solicitudes.</w:t>
            </w:r>
          </w:p>
          <w:p>
            <w:pPr>
              <w:spacing w:after="120" w:line="276"/>
            </w:pPr>
            <w:r>
              <w:rPr>
                <w:sz w:val="21"/>
                <w:szCs w:val="21"/>
              </w:rPr>
              <w:t xml:space="preserve">Equiparacion resuelve «equiparacions» en lugar de equiparaciones.</w:t>
            </w:r>
          </w:p>
          <w:p>
            <w:pPr>
              <w:spacing w:after="120" w:line="276"/>
            </w:pPr>
            <w:r>
              <w:rPr>
                <w:sz w:val="21"/>
                <w:szCs w:val="21"/>
              </w:rPr>
              <w:t xml:space="preserve">PlanEstudio resuelve «plan_estudios» en lugar de planes_estudio.</w:t>
            </w:r>
          </w:p>
          <w:p>
            <w:pPr>
              <w:spacing w:after="120" w:line="276"/>
            </w:pPr>
            <w:r>
              <w:rPr>
                <w:sz w:val="21"/>
                <w:szCs w:val="21"/>
              </w:rPr>
              <w:t xml:space="preserve">HistorialAcademico resuelve «historial_academicos», y la tabla es singular.</w:t>
            </w:r>
          </w:p>
          <w:p>
            <w:pPr>
              <w:spacing w:after="0" w:line="276"/>
            </w:pPr>
            <w:r>
              <w:rPr>
                <w:sz w:val="21"/>
                <w:szCs w:val="21"/>
              </w:rPr>
              <w:t xml:space="preserve">Diez de los dieciocho modelos requieren nombre de tabla explícito.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Decisión del equipo</w:t>
            </w:r>
          </w:p>
        </w:tc>
        <w:tc>
          <w:tcPr>
            <w:tcW w:type="dxa" w:w="6960"/>
            <w:tcMar>
              <w:top w:type="dxa" w:w="80"/>
              <w:left w:type="dxa" w:w="120"/>
              <w:bottom w:type="dxa" w:w="80"/>
              <w:right w:type="dxa" w:w="120"/>
            </w:tcMar>
          </w:tcPr>
          <w:p>
            <w:pPr>
              <w:spacing w:after="0" w:line="276"/>
            </w:pPr>
            <w:r>
              <w:rPr>
                <w:sz w:val="21"/>
                <w:szCs w:val="21"/>
              </w:rPr>
              <w:t xml:space="preserve">Se usó el atributo #[Table] de Laravel 13 en lugar de la propiedad protected $table, por coherencia con el modelo User que trae el framework, que ya declara #[Fillable] y #[Hidden] como atributos.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Excepción registrada</w:t>
            </w:r>
          </w:p>
        </w:tc>
        <w:tc>
          <w:tcPr>
            <w:tcW w:type="dxa" w:w="6960"/>
            <w:tcMar>
              <w:top w:type="dxa" w:w="80"/>
              <w:left w:type="dxa" w:w="120"/>
              <w:bottom w:type="dxa" w:w="80"/>
              <w:right w:type="dxa" w:w="120"/>
            </w:tcMar>
          </w:tcPr>
          <w:p>
            <w:pPr>
              <w:spacing w:after="0" w:line="276"/>
            </w:pPr>
            <w:r>
              <w:rPr>
                <w:sz w:val="21"/>
                <w:szCs w:val="21"/>
              </w:rPr>
              <w:t xml:space="preserve">Rol y Permiso apuntan a las tablas roles y permissions, en inglés, porque así las nombra el estándar. Es la excepción a la Entrada 11: el nombre en español se conserva en la clase y el atributo #[Table] hace el puente. Se prefirió eso a renombrar tablas del núcleo compartido.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Verificación aplicada</w:t>
            </w:r>
          </w:p>
        </w:tc>
        <w:tc>
          <w:tcPr>
            <w:tcW w:type="dxa" w:w="6960"/>
            <w:tcMar>
              <w:top w:type="dxa" w:w="80"/>
              <w:left w:type="dxa" w:w="120"/>
              <w:bottom w:type="dxa" w:w="80"/>
              <w:right w:type="dxa" w:w="120"/>
            </w:tcMar>
          </w:tcPr>
          <w:p>
            <w:pPr>
              <w:spacing w:after="0" w:line="276"/>
            </w:pPr>
            <w:r>
              <w:rPr>
                <w:sz w:val="21"/>
                <w:szCs w:val="21"/>
              </w:rPr>
              <w:t xml:space="preserve">Se comprobó por script que las dieciocho tablas resueltas existen en las migraciones y que ninguna relación referencia una clase inexistente. Las cinco tablas pivote no tienen modelo propio: se recorren con belongsToMany y withPivot.</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Un riesgo anotado en el diario dejó de ser una sorpresa. La Entrada 11 lo describió antes de que apareciera; cuando apareció, el costo fue aplicar un atributo en diez archivos, no rediseñar la nomenclatura.</w:t>
            </w:r>
          </w:p>
        </w:tc>
      </w:tr>
    </w:tbl>
    <w:p>
      <w:pPr>
        <w:spacing w:after="200"/>
      </w:pPr>
    </w:p>
    <w:p>
      <w:pPr>
        <w:pStyle w:val="Heading2"/>
        <w:spacing w:after="140" w:before="280"/>
      </w:pPr>
      <w:r>
        <w:rPr>
          <w:b/>
          <w:bCs/>
          <w:color w:val="1F4E79"/>
          <w:sz w:val="25"/>
          <w:szCs w:val="25"/>
        </w:rPr>
        <w:t xml:space="preserve">Entrada 23 — Criterio de diseño de las factories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Dieciocho factories. La decisión relevante no fue técnica sino qué estados nombrados definir en cada una.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adoptado</w:t>
            </w:r>
          </w:p>
        </w:tc>
        <w:tc>
          <w:tcPr>
            <w:tcW w:type="dxa" w:w="6960"/>
            <w:tcMar>
              <w:top w:type="dxa" w:w="80"/>
              <w:left w:type="dxa" w:w="120"/>
              <w:bottom w:type="dxa" w:w="80"/>
              <w:right w:type="dxa" w:w="120"/>
            </w:tcMar>
          </w:tcPr>
          <w:p>
            <w:pPr>
              <w:spacing w:after="0" w:line="276"/>
            </w:pPr>
            <w:r>
              <w:rPr>
                <w:sz w:val="21"/>
                <w:szCs w:val="21"/>
              </w:rPr>
              <w:t xml:space="preserve">Cada estado corresponde a un caso que algún criterio de aceptación exige demostrar, o a una restricción de la base que hay que respetar. No se definieron estados decorativos.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Ejemplos registrados</w:t>
            </w:r>
          </w:p>
        </w:tc>
        <w:tc>
          <w:tcPr>
            <w:tcW w:type="dxa" w:w="6960"/>
            <w:tcMar>
              <w:top w:type="dxa" w:w="80"/>
              <w:left w:type="dxa" w:w="120"/>
              <w:bottom w:type="dxa" w:w="80"/>
              <w:right w:type="dxa" w:w="120"/>
            </w:tcMar>
          </w:tcPr>
          <w:p>
            <w:pPr>
              <w:spacing w:after="120" w:line="276"/>
            </w:pPr>
            <w:r>
              <w:rPr>
                <w:sz w:val="21"/>
                <w:szCs w:val="21"/>
              </w:rPr>
              <w:t xml:space="preserve">CursoFactory::servicio() deja carrera_id en NULL, el único caso que permite el CHECK chk_cursos_servicio_carrera.</w:t>
            </w:r>
          </w:p>
          <w:p>
            <w:pPr>
              <w:spacing w:after="120" w:line="276"/>
            </w:pPr>
            <w:r>
              <w:rPr>
                <w:sz w:val="21"/>
                <w:szCs w:val="21"/>
              </w:rPr>
              <w:t xml:space="preserve">PlanEstudioFactory::terminal() fija la fecha de cierre que exige chk_planes_terminal_fecha, y habilita la regla (c) de ES-01.</w:t>
            </w:r>
          </w:p>
          <w:p>
            <w:pPr>
              <w:spacing w:after="120" w:line="276"/>
            </w:pPr>
            <w:r>
              <w:rPr>
                <w:sz w:val="21"/>
                <w:szCs w:val="21"/>
              </w:rPr>
              <w:t xml:space="preserve">HistorialAcademicoFactory::requisitoLevantado() deja la huella que ES-01 consulta para detectar duplicados.</w:t>
            </w:r>
          </w:p>
          <w:p>
            <w:pPr>
              <w:spacing w:after="120" w:line="276"/>
            </w:pPr>
            <w:r>
              <w:rPr>
                <w:sz w:val="21"/>
                <w:szCs w:val="21"/>
              </w:rPr>
              <w:t xml:space="preserve">SolicitudFactory::sinFechaVencida() antedata created_at treinta horas para disparar la regla de las veinticuatro horas de ES-03.</w:t>
            </w:r>
          </w:p>
          <w:p>
            <w:pPr>
              <w:spacing w:after="0" w:line="276"/>
            </w:pPr>
            <w:r>
              <w:rPr>
                <w:sz w:val="21"/>
                <w:szCs w:val="21"/>
              </w:rPr>
              <w:t xml:space="preserve">ReglaLevantamientoFactory expone un método por cada uno de los cuatro tipos evaluables.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Verificación aplicada</w:t>
            </w:r>
          </w:p>
        </w:tc>
        <w:tc>
          <w:tcPr>
            <w:tcW w:type="dxa" w:w="6960"/>
            <w:tcMar>
              <w:top w:type="dxa" w:w="80"/>
              <w:left w:type="dxa" w:w="120"/>
              <w:bottom w:type="dxa" w:w="80"/>
              <w:right w:type="dxa" w:w="120"/>
            </w:tcMar>
          </w:tcPr>
          <w:p>
            <w:pPr>
              <w:spacing w:after="0" w:line="276"/>
            </w:pPr>
            <w:r>
              <w:rPr>
                <w:sz w:val="21"/>
                <w:szCs w:val="21"/>
              </w:rPr>
              <w:t xml:space="preserve">Se comprobó por script que toda clave usada en definition() y en los estados existe como columna de la tabla correspondiente. El único hallazgo fue un falso positivo: la clave type dentro del array credential de PasskeyFactory, que es contenido de una columna JSON y no una columna.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Una factory cuyos estados se nombran por el caso de negocio que representan funciona como índice de los criterios de aceptación. Al escribir las pruebas unitarias, el nombre del estado ya dice qué se está probando.</w:t>
            </w:r>
          </w:p>
        </w:tc>
      </w:tr>
    </w:tbl>
    <w:p>
      <w:pPr>
        <w:spacing w:after="200"/>
      </w:pPr>
    </w:p>
    <w:p>
      <w:pPr>
        <w:pStyle w:val="Heading2"/>
        <w:spacing w:after="140" w:before="280"/>
      </w:pPr>
      <w:r>
        <w:rPr>
          <w:b/>
          <w:bCs/>
          <w:color w:val="1F4E79"/>
          <w:sz w:val="25"/>
          <w:szCs w:val="25"/>
        </w:rPr>
        <w:t xml:space="preserve">Entrada 24 — Seeders: datos construidos para demostrar, y corrección al RBAC del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Ocho seeders orquestados desde DatabaseSeeder en orden de dependencias: catálogos institucionales, malla curricular, expediente simulado y por último las solicitudes que lo consumen.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Criterio de los datos</w:t>
            </w:r>
          </w:p>
        </w:tc>
        <w:tc>
          <w:tcPr>
            <w:tcW w:type="dxa" w:w="6960"/>
            <w:tcMar>
              <w:top w:type="dxa" w:w="80"/>
              <w:left w:type="dxa" w:w="120"/>
              <w:bottom w:type="dxa" w:w="80"/>
              <w:right w:type="dxa" w:w="120"/>
            </w:tcMar>
          </w:tcPr>
          <w:p>
            <w:pPr>
              <w:spacing w:after="0" w:line="276"/>
            </w:pPr>
            <w:r>
              <w:rPr>
                <w:sz w:val="21"/>
                <w:szCs w:val="21"/>
              </w:rPr>
              <w:t xml:space="preserve">Los cuatro estudiantes sembrados no son aleatorios: cada uno recorre un camino distinto del motor de ES-01. Ana aprobó ITI-302 con nota 92 y supera el mínimo de 85. Bruno lo aprobó con 71 y acumula quince créditos, insuficiente por ambas reglas. Carla está matriculada en el Plan 2019, clasificado Terminal. Diego ya tiene ITI-302 con estado «Requisito levantado», que es el caso de duplicado. El curso ITI-501 quedó deliberadamente sin reglas configuradas, para el criterio de elevación automática a revisión manual.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Corrección aplicada al estándar</w:t>
            </w:r>
          </w:p>
        </w:tc>
        <w:tc>
          <w:tcPr>
            <w:tcW w:type="dxa" w:w="6960"/>
            <w:tcMar>
              <w:top w:type="dxa" w:w="80"/>
              <w:left w:type="dxa" w:w="120"/>
              <w:bottom w:type="dxa" w:w="80"/>
              <w:right w:type="dxa" w:w="120"/>
            </w:tcMar>
          </w:tcPr>
          <w:p>
            <w:pPr>
              <w:spacing w:after="0" w:line="276"/>
            </w:pPr>
            <w:r>
              <w:rPr>
                <w:sz w:val="21"/>
                <w:szCs w:val="21"/>
              </w:rPr>
              <w:t xml:space="preserve">El script asigna permisos mediante IDs numéricos literales. Si otro módulo agrega roles o permisos al núcleo compartido, esos IDs se desplazan y la matriz completa queda mal asignada. El seeder resuelve la asignación por nombre, con lo que es inmune al orden de inserción. Es la única desviación respecto del script, y es de implementación, no de esquema.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Demostración de la Entrada 15</w:t>
            </w:r>
          </w:p>
        </w:tc>
        <w:tc>
          <w:tcPr>
            <w:tcW w:type="dxa" w:w="6960"/>
            <w:tcMar>
              <w:top w:type="dxa" w:w="80"/>
              <w:left w:type="dxa" w:w="120"/>
              <w:bottom w:type="dxa" w:w="80"/>
              <w:right w:type="dxa" w:w="120"/>
            </w:tcMar>
          </w:tcPr>
          <w:p>
            <w:pPr>
              <w:spacing w:after="0" w:line="276"/>
            </w:pPr>
            <w:r>
              <w:rPr>
                <w:sz w:val="21"/>
                <w:szCs w:val="21"/>
              </w:rPr>
              <w:t xml:space="preserve">La malla sembrada asigna a ITI-101 cuatro créditos en el Plan 2023 y tres en el Plan 2019. Es el caso concreto que motivó al docente a rechazar cursos.creditos, ahora reproducible con datos en vez de argumentado en abstracto.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Aclaración sobre el motor</w:t>
            </w:r>
          </w:p>
        </w:tc>
        <w:tc>
          <w:tcPr>
            <w:tcW w:type="dxa" w:w="6960"/>
            <w:tcMar>
              <w:top w:type="dxa" w:w="80"/>
              <w:left w:type="dxa" w:w="120"/>
              <w:bottom w:type="dxa" w:w="80"/>
              <w:right w:type="dxa" w:w="120"/>
            </w:tcMar>
          </w:tcPr>
          <w:p>
            <w:pPr>
              <w:spacing w:after="0" w:line="276"/>
            </w:pPr>
            <w:r>
              <w:rPr>
                <w:sz w:val="21"/>
                <w:szCs w:val="21"/>
              </w:rPr>
              <w:t xml:space="preserve">Las reglas sembradas son filas de reglas_levantamiento, no lógica en código. Se verificó que app/ no contiene ninguna referencia a un código de curso ni ninguna condición que ramifique por curso. Si se elimina el seeder, el sistema opera igual y toda solicitud se eleva a revisión manual, que es el comportamiento que ES-01 define para cursos sin reglas.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Datos de prueba construidos contra los criterios de aceptación sirven dos veces: para la demostración en la defensa y como especificación ejecutable de las pruebas unitarias pendientes.</w:t>
            </w:r>
          </w:p>
        </w:tc>
      </w:tr>
    </w:tbl>
    <w:p>
      <w:pPr>
        <w:spacing w:after="200"/>
      </w:pPr>
    </w:p>
    <w:p>
      <w:pPr>
        <w:pStyle w:val="Heading2"/>
        <w:spacing w:after="140" w:before="280"/>
      </w:pPr>
      <w:r>
        <w:rPr>
          <w:b/>
          <w:bCs/>
          <w:color w:val="1F4E79"/>
          <w:sz w:val="25"/>
          <w:szCs w:val="25"/>
        </w:rPr>
        <w:t xml:space="preserve">Entrada 25 — Zona horaria y locales: discrepancia con la IA sobre dónde vive un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configuración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La revisión de configuración encontró config/app.php con «timezone» fijado en UTC y APP_FAKER_LOCALE en en_US. La zona horaria importa: ES-03 mide veinticuatro horas para asignar la fecha estimada y cinco días hábiles desde la recepción. Con UTC el cálculo se corre seis horas y el vencimiento cae el día equivocado.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Propuesta de la IA</w:t>
            </w:r>
          </w:p>
        </w:tc>
        <w:tc>
          <w:tcPr>
            <w:tcW w:type="dxa" w:w="6960"/>
            <w:tcMar>
              <w:top w:type="dxa" w:w="80"/>
              <w:left w:type="dxa" w:w="120"/>
              <w:bottom w:type="dxa" w:w="80"/>
              <w:right w:type="dxa" w:w="120"/>
            </w:tcMar>
          </w:tcPr>
          <w:p>
            <w:pPr>
              <w:spacing w:after="0" w:line="276"/>
            </w:pPr>
            <w:r>
              <w:rPr>
                <w:sz w:val="21"/>
                <w:szCs w:val="21"/>
              </w:rPr>
              <w:t xml:space="preserve">Enrutar la zona horaria por variable de entorno, con env('APP_TIMEZONE', 'UTC') en config/app.php y el valor en el archivo .env, argumentando que así se cubría de paso el requisito de variables de entorno que exige la ficha.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rechazó y por qué</w:t>
            </w:r>
          </w:p>
        </w:tc>
        <w:tc>
          <w:tcPr>
            <w:tcW w:type="dxa" w:w="6960"/>
            <w:tcMar>
              <w:top w:type="dxa" w:w="80"/>
              <w:left w:type="dxa" w:w="120"/>
              <w:bottom w:type="dxa" w:w="80"/>
              <w:right w:type="dxa" w:w="120"/>
            </w:tcMar>
          </w:tcPr>
          <w:p>
            <w:pPr>
              <w:spacing w:after="0" w:line="276"/>
            </w:pPr>
            <w:r>
              <w:rPr>
                <w:sz w:val="21"/>
                <w:szCs w:val="21"/>
              </w:rPr>
              <w:t xml:space="preserve">Se rechazó la solución. Una zona horaria que no cambia entre entornos no es una variable de entorno: desarrollo, pruebas y producción sirven a la misma sede en el mismo país. Escribirla en config/app.php comunica que es un dato del dominio; ponerla en .env sugeriría que varía. Laravel 11 retiró el env() de esa clave por la misma razón. Además, el requisito de variables de entorno ya está cubierto por DB_*, MAIL_* y APP_KEY, de modo que el argumento de la IA resolvía un requisito que no estaba en riesgo.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aceptó</w:t>
            </w:r>
          </w:p>
        </w:tc>
        <w:tc>
          <w:tcPr>
            <w:tcW w:type="dxa" w:w="6960"/>
            <w:tcMar>
              <w:top w:type="dxa" w:w="80"/>
              <w:left w:type="dxa" w:w="120"/>
              <w:bottom w:type="dxa" w:w="80"/>
              <w:right w:type="dxa" w:w="120"/>
            </w:tcMar>
          </w:tcPr>
          <w:p>
            <w:pPr>
              <w:spacing w:after="0" w:line="276"/>
            </w:pPr>
            <w:r>
              <w:rPr>
                <w:sz w:val="21"/>
                <w:szCs w:val="21"/>
              </w:rPr>
              <w:t xml:space="preserve">El diagnóstico: la zona horaria estaba efectivamente mal y afectaba a ES-03. Se fijó «timezone» en America/Costa_Rica directamente en config/app.php. Los locales sí se enrutaron por .env, porque esos sí pueden variar entre integrantes del equipo.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Hallazgo adicional</w:t>
            </w:r>
          </w:p>
        </w:tc>
        <w:tc>
          <w:tcPr>
            <w:tcW w:type="dxa" w:w="6960"/>
            <w:tcMar>
              <w:top w:type="dxa" w:w="80"/>
              <w:left w:type="dxa" w:w="120"/>
              <w:bottom w:type="dxa" w:w="80"/>
              <w:right w:type="dxa" w:w="120"/>
            </w:tcMar>
          </w:tcPr>
          <w:p>
            <w:pPr>
              <w:spacing w:after="0" w:line="276"/>
            </w:pPr>
            <w:r>
              <w:rPr>
                <w:sz w:val="21"/>
                <w:szCs w:val="21"/>
              </w:rPr>
              <w:t xml:space="preserve">Faker no incluye el locale es_CR. Los disponibles en español son es_AR, es_ES, es_PE y es_VE; se optó por es_ES. Solo afecta nombres y apellidos generados: las cédulas se construyen con numerify y no dependen del locale.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El equipo aceptó el diagnóstico de la IA y rechazó su solución. Separar el problema detectado de la solución propuesta permite quedarse con lo útil sin adoptar el criterio ajeno. La justificación que sostiene el rechazo —qué distingue un dato de configuración de una variable de entorno— es del equipo, no de la herramienta.</w:t>
            </w:r>
          </w:p>
        </w:tc>
      </w:tr>
    </w:tbl>
    <w:p>
      <w:pPr>
        <w:spacing w:after="200"/>
      </w:pPr>
    </w:p>
    <w:p>
      <w:pPr>
        <w:pStyle w:val="Heading2"/>
        <w:spacing w:after="140" w:before="280"/>
      </w:pPr>
      <w:r>
        <w:rPr>
          <w:b/>
          <w:bCs/>
          <w:color w:val="1F4E79"/>
          <w:sz w:val="25"/>
          <w:szCs w:val="25"/>
        </w:rPr>
        <w:t xml:space="preserve">Entrada 26 — Corrección del README: el nombre de la base divergía del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02/08/2026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documentación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Se revisó el README para que un integrante pudiera instalar el proyecto desde cero sin apoyo del resto del equipo.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Defecto encontrado</w:t>
            </w:r>
          </w:p>
        </w:tc>
        <w:tc>
          <w:tcPr>
            <w:tcW w:type="dxa" w:w="6960"/>
            <w:tcMar>
              <w:top w:type="dxa" w:w="80"/>
              <w:left w:type="dxa" w:w="120"/>
              <w:bottom w:type="dxa" w:w="80"/>
              <w:right w:type="dxa" w:w="120"/>
            </w:tcMar>
          </w:tcPr>
          <w:p>
            <w:pPr>
              <w:spacing w:after="0" w:line="276"/>
            </w:pPr>
            <w:r>
              <w:rPr>
                <w:sz w:val="21"/>
                <w:szCs w:val="21"/>
              </w:rPr>
              <w:t xml:space="preserve">El README indicaba crear la base con el nombre student_requests, mientras que el archivo .env.example apuntaba a gestion_academica_utn. Un integrante que siguiera el documento habría creado la base equivocada, y el error resultante (Unknown database) no señala la causa real.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Origen del defecto</w:t>
            </w:r>
          </w:p>
        </w:tc>
        <w:tc>
          <w:tcPr>
            <w:tcW w:type="dxa" w:w="6960"/>
            <w:tcMar>
              <w:top w:type="dxa" w:w="80"/>
              <w:left w:type="dxa" w:w="120"/>
              <w:bottom w:type="dxa" w:w="80"/>
              <w:right w:type="dxa" w:w="120"/>
            </w:tcMar>
          </w:tcPr>
          <w:p>
            <w:pPr>
              <w:spacing w:after="0" w:line="276"/>
            </w:pPr>
            <w:r>
              <w:rPr>
                <w:sz w:val="21"/>
                <w:szCs w:val="21"/>
              </w:rPr>
              <w:t xml:space="preserve">El nombre se cambió al adoptar el estándar institucional (Entrada 12) pero el README conservó el valor anterior. Fue una omisión, no una decisión.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Otras correcciones</w:t>
            </w:r>
          </w:p>
        </w:tc>
        <w:tc>
          <w:tcPr>
            <w:tcW w:type="dxa" w:w="6960"/>
            <w:tcMar>
              <w:top w:type="dxa" w:w="80"/>
              <w:left w:type="dxa" w:w="120"/>
              <w:bottom w:type="dxa" w:w="80"/>
              <w:right w:type="dxa" w:w="120"/>
            </w:tcMar>
          </w:tcPr>
          <w:p>
            <w:pPr>
              <w:spacing w:after="0" w:line="276"/>
            </w:pPr>
            <w:r>
              <w:rPr>
                <w:sz w:val="21"/>
                <w:szCs w:val="21"/>
              </w:rPr>
              <w:t xml:space="preserve">La tabla "Modelo de datos" conservaba los nombres en inglés previos a la Entrada 11; el ejemplo de flujo de Git referenciaba un archivo inexistente; el árbol del proyecto decía trece entidades cuando ya eran dieciocho. Se documentaron además las cuentas sembradas y qué criterio de aceptación demuestra cada una, que hasta ese momento no estaban en ninguna parte.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La documentación de instalación caduca en silencio: nada falla al escribirla y el error aparece semanas después, en la máquina de otra persona. Conviene revisarla cada vez que cambia un valor de configuración, no cuando alguien reporta el problema.</w:t>
            </w:r>
          </w:p>
        </w:tc>
      </w:tr>
    </w:tbl>
    <w:p>
      <w:pPr>
        <w:spacing w:after="200"/>
      </w:pPr>
    </w:p>
    <w:p>
      <w:pPr>
        <w:pStyle w:val="Heading2"/>
        <w:spacing w:after="140" w:before="280"/>
      </w:pPr>
      <w:r>
        <w:rPr>
          <w:b/>
          <w:bCs/>
          <w:color w:val="1F4E79"/>
          <w:sz w:val="25"/>
          <w:szCs w:val="25"/>
        </w:rPr>
        <w:t xml:space="preserve">Entrada 27 — Normativa institucional de idioma: reversión completa de la Entrada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04/08/2026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Se confirmó que la normativa institucional exige que todo el proyecto esté en inglés. La Entrada 11 había resuelto lo contrario —español en tablas y modelos— por seguir el estándar del curso, que entonces estaba en español.</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Consulta a la IA</w:t>
            </w:r>
          </w:p>
        </w:tc>
        <w:tc>
          <w:tcPr>
            <w:tcW w:type="dxa" w:w="6960"/>
            <w:tcMar>
              <w:top w:type="dxa" w:w="80"/>
              <w:left w:type="dxa" w:w="120"/>
              <w:bottom w:type="dxa" w:w="80"/>
              <w:right w:type="dxa" w:w="120"/>
            </w:tcMar>
          </w:tcPr>
          <w:p>
            <w:pPr>
              <w:spacing w:after="0" w:line="276"/>
            </w:pPr>
            <w:r>
              <w:rPr>
                <w:sz w:val="21"/>
                <w:szCs w:val="21"/>
              </w:rPr>
              <w:t xml:space="preserve">Se preguntó si el cambio era viable y qué había que borrar. La respuesta separó el problema en dos: los nombres de clase podían pasar a inglés sin tocar la base, pero renombrar las tablas rompía la correspondencia con el estándar del docente.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se rechazó de la IA</w:t>
            </w:r>
          </w:p>
        </w:tc>
        <w:tc>
          <w:tcPr>
            <w:tcW w:type="dxa" w:w="6960"/>
            <w:tcMar>
              <w:top w:type="dxa" w:w="80"/>
              <w:left w:type="dxa" w:w="120"/>
              <w:bottom w:type="dxa" w:w="80"/>
              <w:right w:type="dxa" w:w="120"/>
            </w:tcMar>
          </w:tcPr>
          <w:p>
            <w:pPr>
              <w:spacing w:after="0" w:line="276"/>
            </w:pPr>
            <w:r>
              <w:rPr>
                <w:sz w:val="21"/>
                <w:szCs w:val="21"/>
              </w:rPr>
              <w:t xml:space="preserve">La recomendación de no hacerlo. La IA argumentó que sería el tercer cambio de criterio sobre el mismo punto y que traducir el lenguaje del dominio contradice el principio de lenguaje ubicuo de DDD. Ambos argumentos son válidos, pero ninguno pesa frente a una normativa institucional: no era una preferencia del equipo sino un requisito externo.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Resolución del conflicto</w:t>
            </w:r>
          </w:p>
        </w:tc>
        <w:tc>
          <w:tcPr>
            <w:tcW w:type="dxa" w:w="6960"/>
            <w:tcMar>
              <w:top w:type="dxa" w:w="80"/>
              <w:left w:type="dxa" w:w="120"/>
              <w:bottom w:type="dxa" w:w="80"/>
              <w:right w:type="dxa" w:w="120"/>
            </w:tcMar>
          </w:tcPr>
          <w:p>
            <w:pPr>
              <w:spacing w:after="0" w:line="276"/>
            </w:pPr>
            <w:r>
              <w:rPr>
                <w:sz w:val="21"/>
                <w:szCs w:val="21"/>
              </w:rPr>
              <w:t xml:space="preserve">El docente entregó el estándar traducido (utn_academic_management_system.sql), lo que eliminó la objeción de fondo: al cambiar el estándar, seguirlo en inglés dejó de ser una divergencia y pasó a ser lo contrario.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Alcance del cambio</w:t>
            </w:r>
          </w:p>
        </w:tc>
        <w:tc>
          <w:tcPr>
            <w:tcW w:type="dxa" w:w="6960"/>
            <w:tcMar>
              <w:top w:type="dxa" w:w="80"/>
              <w:left w:type="dxa" w:w="120"/>
              <w:bottom w:type="dxa" w:w="80"/>
              <w:right w:type="dxa" w:w="120"/>
            </w:tcMar>
          </w:tcPr>
          <w:p>
            <w:pPr>
              <w:spacing w:after="0" w:line="276"/>
            </w:pPr>
            <w:r>
              <w:rPr>
                <w:sz w:val="21"/>
                <w:szCs w:val="21"/>
              </w:rPr>
              <w:t xml:space="preserve">Se reescribieron las veinticuatro migraciones, los dieciocho modelos, las dieciocho factories y los nueve seeders. Cambió también el nombre de la base de datos, de gestion_academica_utn a utn_academic_management, con la actualización correspondiente en .env.example y en el README.</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Qué NO se tradujo, y por qué</w:t>
            </w:r>
          </w:p>
        </w:tc>
        <w:tc>
          <w:tcPr>
            <w:tcW w:type="dxa" w:w="6960"/>
            <w:tcMar>
              <w:top w:type="dxa" w:w="80"/>
              <w:left w:type="dxa" w:w="120"/>
              <w:bottom w:type="dxa" w:w="80"/>
              <w:right w:type="dxa" w:w="120"/>
            </w:tcMar>
          </w:tcPr>
          <w:p>
            <w:pPr>
              <w:spacing w:after="120" w:line="276"/>
            </w:pPr>
            <w:r>
              <w:rPr>
                <w:sz w:val="21"/>
                <w:szCs w:val="21"/>
              </w:rPr>
              <w:t xml:space="preserve">Los valores de los ENUM se conservan en español: "Convalidación", "Pendiente de revisión", "Requisito levantado". Son datos definidos por el estándar, no identificadores; traducirlos rompería la compatibilidad con la base.</w:t>
            </w:r>
          </w:p>
          <w:p>
            <w:pPr>
              <w:spacing w:after="120" w:line="276"/>
            </w:pPr>
            <w:r>
              <w:rPr>
                <w:sz w:val="21"/>
                <w:szCs w:val="21"/>
              </w:rPr>
              <w:t xml:space="preserve">Los nombres de rol se conservan igual, por la misma razón: "Coordinadora de Docencia", "Comisión Técnica".</w:t>
            </w:r>
          </w:p>
          <w:p>
            <w:pPr>
              <w:spacing w:after="0" w:line="276"/>
            </w:pPr>
            <w:r>
              <w:rPr>
                <w:sz w:val="21"/>
                <w:szCs w:val="21"/>
              </w:rPr>
              <w:t xml:space="preserve">Las constantes que envuelven esos valores sí son inglesas, de modo que el código no repite cadenas en español: StudentRequest::TYPE_TRANSFER_CREDIT contiene el valor "Convalidación".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Efecto no previsto</w:t>
            </w:r>
          </w:p>
        </w:tc>
        <w:tc>
          <w:tcPr>
            <w:tcW w:type="dxa" w:w="6960"/>
            <w:tcMar>
              <w:top w:type="dxa" w:w="80"/>
              <w:left w:type="dxa" w:w="120"/>
              <w:bottom w:type="dxa" w:w="80"/>
              <w:right w:type="dxa" w:w="120"/>
            </w:tcMar>
          </w:tcPr>
          <w:p>
            <w:pPr>
              <w:spacing w:after="0" w:line="276"/>
            </w:pPr>
            <w:r>
              <w:rPr>
                <w:sz w:val="21"/>
                <w:szCs w:val="21"/>
              </w:rPr>
              <w:t xml:space="preserve">Con los nombres en inglés el pluralizador de Laravel resuelve correctamente diecisiete de los dieciocho modelos. Antes eran diez los que necesitaban el atributo #[Table]; ahora solo StudentRequestStatusHistory, que resolvería student_request_status_histories. El problema descrito en las Entradas 11 y 22 desapareció casi por completo como consecuencia lateral del cambio de idioma.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Una decisión de equipo bien argumentada puede quedar sin efecto por una restricción externa que no estaba sobre la mesa cuando se tomó. El registro de las Entradas 03, 11 y 27 no muestra indecisión sino tres contextos distintos: preferencia propia, estándar en español, normativa institucional. Documentar el motivo de cada reversa es lo que distingue un cambio de criterio de un cambio de circunstancias.</w:t>
            </w:r>
          </w:p>
        </w:tc>
      </w:tr>
    </w:tbl>
    <w:p>
      <w:pPr>
        <w:spacing w:after="200"/>
      </w:pPr>
    </w:p>
    <w:p>
      <w:pPr>
        <w:pStyle w:val="Heading2"/>
        <w:spacing w:after="140" w:before="280"/>
      </w:pPr>
      <w:r>
        <w:rPr>
          <w:b/>
          <w:bCs/>
          <w:color w:val="1F4E79"/>
          <w:sz w:val="25"/>
          <w:szCs w:val="25"/>
        </w:rPr>
        <w:t xml:space="preserve">Entrada 28 — El estándar traducido incorpora correcciones, no solo cambio de idioma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Fecha</w:t>
            </w:r>
          </w:p>
        </w:tc>
        <w:tc>
          <w:tcPr>
            <w:tcW w:type="dxa" w:w="6960"/>
            <w:tcMar>
              <w:top w:type="dxa" w:w="80"/>
              <w:left w:type="dxa" w:w="120"/>
              <w:bottom w:type="dxa" w:w="80"/>
              <w:right w:type="dxa" w:w="120"/>
            </w:tcMar>
          </w:tcPr>
          <w:p>
            <w:pPr>
              <w:spacing w:after="0" w:line="276"/>
            </w:pPr>
            <w:r>
              <w:rPr>
                <w:sz w:val="21"/>
                <w:szCs w:val="21"/>
              </w:rPr>
              <w:t xml:space="preserve">04/08/2026</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Fase</w:t>
            </w:r>
          </w:p>
        </w:tc>
        <w:tc>
          <w:tcPr>
            <w:tcW w:type="dxa" w:w="6960"/>
            <w:tcMar>
              <w:top w:type="dxa" w:w="80"/>
              <w:left w:type="dxa" w:w="120"/>
              <w:bottom w:type="dxa" w:w="80"/>
              <w:right w:type="dxa" w:w="120"/>
            </w:tcMar>
          </w:tcPr>
          <w:p>
            <w:pPr>
              <w:spacing w:after="0" w:line="276"/>
            </w:pPr>
            <w:r>
              <w:rPr>
                <w:sz w:val="21"/>
                <w:szCs w:val="21"/>
              </w:rPr>
              <w:t xml:space="preserve">Primer avance — modelo de datos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Contexto</w:t>
            </w:r>
          </w:p>
        </w:tc>
        <w:tc>
          <w:tcPr>
            <w:tcW w:type="dxa" w:w="6960"/>
            <w:tcMar>
              <w:top w:type="dxa" w:w="80"/>
              <w:left w:type="dxa" w:w="120"/>
              <w:bottom w:type="dxa" w:w="80"/>
              <w:right w:type="dxa" w:w="120"/>
            </w:tcMar>
          </w:tcPr>
          <w:p>
            <w:pPr>
              <w:spacing w:after="0" w:line="276"/>
            </w:pPr>
            <w:r>
              <w:rPr>
                <w:sz w:val="21"/>
                <w:szCs w:val="21"/>
              </w:rPr>
              <w:t xml:space="preserve">Antes de transcribir el estándar en inglés se contrastó contra la versión en español, bajo el supuesto de que sería una traducción literal. No lo era.</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Hallazgo</w:t>
            </w:r>
          </w:p>
        </w:tc>
        <w:tc>
          <w:tcPr>
            <w:tcW w:type="dxa" w:w="6960"/>
            <w:tcMar>
              <w:top w:type="dxa" w:w="80"/>
              <w:left w:type="dxa" w:w="120"/>
              <w:bottom w:type="dxa" w:w="80"/>
              <w:right w:type="dxa" w:w="120"/>
            </w:tcMar>
          </w:tcPr>
          <w:p>
            <w:pPr>
              <w:spacing w:after="0" w:line="276"/>
            </w:pPr>
            <w:r>
              <w:rPr>
                <w:sz w:val="21"/>
                <w:szCs w:val="21"/>
              </w:rPr>
              <w:t xml:space="preserve">El nuevo script incorpora siete restricciones CHECK que no existían en la versión anterior. Transcribirlo sin auditarlo habría dejado la base más permisiva que el estándar.</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Restricciones nuevas</w:t>
            </w:r>
          </w:p>
        </w:tc>
        <w:tc>
          <w:tcPr>
            <w:tcW w:type="dxa" w:w="6960"/>
            <w:tcMar>
              <w:top w:type="dxa" w:w="80"/>
              <w:left w:type="dxa" w:w="120"/>
              <w:bottom w:type="dxa" w:w="80"/>
              <w:right w:type="dxa" w:w="120"/>
            </w:tcMar>
          </w:tcPr>
          <w:p>
            <w:pPr>
              <w:spacing w:after="120" w:line="276"/>
            </w:pPr>
            <w:r>
              <w:rPr>
                <w:sz w:val="21"/>
                <w:szCs w:val="21"/>
              </w:rPr>
              <w:t xml:space="preserve">chk_waiver_rules_parameters: cada tipo de regla debe llevar exactamente sus parámetros y ninguno de los otros.</w:t>
            </w:r>
          </w:p>
          <w:p>
            <w:pPr>
              <w:spacing w:after="120" w:line="276"/>
            </w:pPr>
            <w:r>
              <w:rPr>
                <w:sz w:val="21"/>
                <w:szCs w:val="21"/>
              </w:rPr>
              <w:t xml:space="preserve">chk_student_requests_waiver_fields y chk_student_requests_transfer_fields: cada tipo de solicitud con sus campos obligatorios.</w:t>
            </w:r>
          </w:p>
          <w:p>
            <w:pPr>
              <w:spacing w:after="120" w:line="276"/>
            </w:pPr>
            <w:r>
              <w:rPr>
                <w:sz w:val="21"/>
                <w:szCs w:val="21"/>
              </w:rPr>
              <w:t xml:space="preserve">chk_courses_lab_type: un curso que requiere laboratorio debe indicar cuál, y uno que no lo requiere no debe indicar ninguno.</w:t>
            </w:r>
          </w:p>
          <w:p>
            <w:pPr>
              <w:spacing w:after="120" w:line="276"/>
            </w:pPr>
            <w:r>
              <w:rPr>
                <w:sz w:val="21"/>
                <w:szCs w:val="21"/>
              </w:rPr>
              <w:t xml:space="preserve">chk_course_equivalences_superseded: una equiparación sustituida debe apuntar a la que la reemplaza; una vigente, a ninguna.</w:t>
            </w:r>
          </w:p>
          <w:p>
            <w:pPr>
              <w:spacing w:after="120" w:line="276"/>
            </w:pPr>
            <w:r>
              <w:rPr>
                <w:sz w:val="21"/>
                <w:szCs w:val="21"/>
              </w:rPr>
              <w:t xml:space="preserve">chk_academic_records_grade: la nota, si existe, queda entre 0 y 100.</w:t>
            </w:r>
          </w:p>
          <w:p>
            <w:pPr>
              <w:spacing w:after="0" w:line="276"/>
            </w:pPr>
            <w:r>
              <w:rPr>
                <w:sz w:val="21"/>
                <w:szCs w:val="21"/>
              </w:rPr>
              <w:t xml:space="preserve">chk_levels_number y chk_course_level_credits: ambos valores deben ser mayores que cero.</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Consecuencia sobre las factories</w:t>
            </w:r>
          </w:p>
        </w:tc>
        <w:tc>
          <w:tcPr>
            <w:tcW w:type="dxa" w:w="6960"/>
            <w:tcMar>
              <w:top w:type="dxa" w:w="80"/>
              <w:left w:type="dxa" w:w="120"/>
              <w:bottom w:type="dxa" w:w="80"/>
              <w:right w:type="dxa" w:w="120"/>
            </w:tcMar>
          </w:tcPr>
          <w:p>
            <w:pPr>
              <w:spacing w:after="0" w:line="276"/>
            </w:pPr>
            <w:r>
              <w:rPr>
                <w:sz w:val="21"/>
                <w:szCs w:val="21"/>
              </w:rPr>
              <w:t xml:space="preserve">chk_waiver_rules_parameters obligó a rediseñar WaiverRuleFactory: cada estado nombrado debe anular explícitamente los parámetros que no corresponden a su tipo, o el INSERT es rechazado por la base. Antes bastaba con asignar los que sí aplicaban.</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Observación registrada</w:t>
            </w:r>
          </w:p>
        </w:tc>
        <w:tc>
          <w:tcPr>
            <w:tcW w:type="dxa" w:w="6960"/>
            <w:tcMar>
              <w:top w:type="dxa" w:w="80"/>
              <w:left w:type="dxa" w:w="120"/>
              <w:bottom w:type="dxa" w:w="80"/>
              <w:right w:type="dxa" w:w="120"/>
            </w:tcMar>
          </w:tcPr>
          <w:p>
            <w:pPr>
              <w:spacing w:after="0" w:line="276"/>
            </w:pPr>
            <w:r>
              <w:rPr>
                <w:sz w:val="21"/>
                <w:szCs w:val="21"/>
              </w:rPr>
              <w:t xml:space="preserve">La restricción de unicidad sobre transfer_credit_precedents, señalada como Observación 4 de la Entrada 20, sigue ausente. Las otras tres observaciones de esa entrada tampoco fueron atendidas. Se mantienen como consultas abiertas.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Verificación aplicada</w:t>
            </w:r>
          </w:p>
        </w:tc>
        <w:tc>
          <w:tcPr>
            <w:tcW w:type="dxa" w:w="6960"/>
            <w:tcMar>
              <w:top w:type="dxa" w:w="80"/>
              <w:left w:type="dxa" w:w="120"/>
              <w:bottom w:type="dxa" w:w="80"/>
              <w:right w:type="dxa" w:w="120"/>
            </w:tcMar>
          </w:tcPr>
          <w:p>
            <w:pPr>
              <w:spacing w:after="0" w:line="276"/>
            </w:pPr>
            <w:r>
              <w:rPr>
                <w:sz w:val="21"/>
                <w:szCs w:val="21"/>
              </w:rPr>
              <w:t xml:space="preserve">Se contrastaron las veinticinco tablas columna por columna contra el script, y los ciento siete nombres de índice, clave foránea y restricción CHECK: coinciden exactamente, sin faltantes ni sobrantes.</w:t>
            </w:r>
          </w:p>
        </w:tc>
      </w:tr>
      <w:tr>
        <w:tc>
          <w:tcPr>
            <w:tcW w:type="dxa" w:w="2400"/>
            <w:shd w:fill="F2F2F2" w:color="auto" w:val="clear"/>
            <w:tcMar>
              <w:top w:type="dxa" w:w="80"/>
              <w:left w:type="dxa" w:w="120"/>
              <w:bottom w:type="dxa" w:w="80"/>
              <w:right w:type="dxa" w:w="120"/>
            </w:tcMar>
          </w:tcPr>
          <w:p>
            <w:pPr>
              <w:spacing w:after="120" w:line="276"/>
            </w:pPr>
            <w:r>
              <w:rPr>
                <w:b/>
                <w:bCs/>
                <w:sz w:val="21"/>
                <w:szCs w:val="21"/>
              </w:rPr>
              <w:t xml:space="preserve">Aprendizaje</w:t>
            </w:r>
          </w:p>
        </w:tc>
        <w:tc>
          <w:tcPr>
            <w:tcW w:type="dxa" w:w="6960"/>
            <w:tcMar>
              <w:top w:type="dxa" w:w="80"/>
              <w:left w:type="dxa" w:w="120"/>
              <w:bottom w:type="dxa" w:w="80"/>
              <w:right w:type="dxa" w:w="120"/>
            </w:tcMar>
          </w:tcPr>
          <w:p>
            <w:pPr>
              <w:spacing w:after="0" w:line="276"/>
            </w:pPr>
            <w:r>
              <w:rPr>
                <w:sz w:val="21"/>
                <w:szCs w:val="21"/>
              </w:rPr>
              <w:t xml:space="preserve">Un archivo presentado como traducción puede contener cambios de fondo. Compararlo contra la versión anterior antes de transcribirlo costó unos minutos y evitó implementar una base menos estricta que la que define el estándar.</w:t>
            </w:r>
          </w:p>
        </w:tc>
      </w:tr>
    </w:tbl>
    <w:p>
      <w:pPr>
        <w:spacing w:after="200"/>
      </w:pPr>
    </w:p>
    <w:p>
      <w:r>
        <w:br w:type="page"/>
      </w:r>
    </w:p>
    <w:p>
      <w:pPr>
        <w:pStyle w:val="Heading1"/>
        <w:spacing w:after="180" w:before="360"/>
      </w:pPr>
      <w:r>
        <w:rPr>
          <w:b/>
          <w:bCs/>
          <w:color w:val="1F4E79"/>
          <w:sz w:val="30"/>
          <w:szCs w:val="30"/>
        </w:rPr>
        <w:t xml:space="preserve">Bitácora de commits asociados</w:t>
      </w:r>
    </w:p>
    <w:p>
      <w:pPr>
        <w:spacing w:after="120" w:line="276"/>
      </w:pPr>
      <w:r>
        <w:rPr>
          <w:sz w:val="22"/>
          <w:szCs w:val="22"/>
        </w:rPr>
        <w:t xml:space="preserve">Referencia cruzada entre las decisiones registradas y el historial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shd w:fill="F2F2F2" w:color="auto" w:val="clear"/>
            <w:tcMar>
              <w:top w:type="dxa" w:w="80"/>
              <w:left w:type="dxa" w:w="120"/>
              <w:bottom w:type="dxa" w:w="80"/>
              <w:right w:type="dxa" w:w="120"/>
            </w:tcMar>
          </w:tcPr>
          <w:p>
            <w:pPr>
              <w:spacing w:after="0" w:line="276"/>
            </w:pPr>
            <w:r>
              <w:rPr>
                <w:b/>
                <w:bCs/>
                <w:sz w:val="21"/>
                <w:szCs w:val="21"/>
              </w:rPr>
              <w:t xml:space="preserve">Fecha</w:t>
            </w:r>
          </w:p>
        </w:tc>
        <w:tc>
          <w:tcPr>
            <w:tcW w:type="dxa" w:w="4200"/>
            <w:shd w:fill="F2F2F2" w:color="auto" w:val="clear"/>
            <w:tcMar>
              <w:top w:type="dxa" w:w="80"/>
              <w:left w:type="dxa" w:w="120"/>
              <w:bottom w:type="dxa" w:w="80"/>
              <w:right w:type="dxa" w:w="120"/>
            </w:tcMar>
          </w:tcPr>
          <w:p>
            <w:pPr>
              <w:spacing w:after="0" w:line="276"/>
            </w:pPr>
            <w:r>
              <w:rPr>
                <w:b/>
                <w:bCs/>
                <w:sz w:val="21"/>
                <w:szCs w:val="21"/>
              </w:rPr>
              <w:t xml:space="preserve">Commit</w:t>
            </w:r>
          </w:p>
        </w:tc>
        <w:tc>
          <w:tcPr>
            <w:tcW w:type="dxa" w:w="3760"/>
            <w:shd w:fill="F2F2F2" w:color="auto" w:val="clear"/>
            <w:tcMar>
              <w:top w:type="dxa" w:w="80"/>
              <w:left w:type="dxa" w:w="120"/>
              <w:bottom w:type="dxa" w:w="80"/>
              <w:right w:type="dxa" w:w="120"/>
            </w:tcMar>
          </w:tcPr>
          <w:p>
            <w:pPr>
              <w:spacing w:after="0" w:line="276"/>
            </w:pPr>
            <w:r>
              <w:rPr>
                <w:b/>
                <w:bCs/>
                <w:sz w:val="21"/>
                <w:szCs w:val="21"/>
              </w:rPr>
              <w:t xml:space="preserve">Entrada relacionada</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 initialize Laravel 13.8 project</w:t>
            </w:r>
          </w:p>
        </w:tc>
        <w:tc>
          <w:tcPr>
            <w:tcW w:type="dxa" w:w="3760"/>
            <w:tcMar>
              <w:top w:type="dxa" w:w="80"/>
              <w:left w:type="dxa" w:w="120"/>
              <w:bottom w:type="dxa" w:w="80"/>
              <w:right w:type="dxa" w:w="120"/>
            </w:tcMar>
          </w:tcPr>
          <w:p>
            <w:pPr>
              <w:spacing w:after="0" w:line="276"/>
            </w:pPr>
            <w:r>
              <w:rPr>
                <w:sz w:val="20"/>
                <w:szCs w:val="20"/>
              </w:rPr>
              <w:t xml:space="preserve">Entradas 01 y 03</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chore(db): switch database driver to mysql</w:t>
            </w:r>
          </w:p>
        </w:tc>
        <w:tc>
          <w:tcPr>
            <w:tcW w:type="dxa" w:w="3760"/>
            <w:tcMar>
              <w:top w:type="dxa" w:w="80"/>
              <w:left w:type="dxa" w:w="120"/>
              <w:bottom w:type="dxa" w:w="80"/>
              <w:right w:type="dxa" w:w="120"/>
            </w:tcMar>
          </w:tcPr>
          <w:p>
            <w:pPr>
              <w:spacing w:after="0" w:line="276"/>
            </w:pPr>
            <w:r>
              <w:rPr>
                <w:sz w:val="20"/>
                <w:szCs w:val="20"/>
              </w:rPr>
              <w:t xml:space="preserve">Entradas 04 y 05</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chore(db): scaffold domain models, migrations, factories and seeders</w:t>
            </w:r>
          </w:p>
        </w:tc>
        <w:tc>
          <w:tcPr>
            <w:tcW w:type="dxa" w:w="3760"/>
            <w:tcMar>
              <w:top w:type="dxa" w:w="80"/>
              <w:left w:type="dxa" w:w="120"/>
              <w:bottom w:type="dxa" w:w="80"/>
              <w:right w:type="dxa" w:w="120"/>
            </w:tcMar>
          </w:tcPr>
          <w:p>
            <w:pPr>
              <w:spacing w:after="0" w:line="276"/>
            </w:pPr>
            <w:r>
              <w:rPr>
                <w:sz w:val="20"/>
                <w:szCs w:val="20"/>
              </w:rPr>
              <w:t xml:space="preserve">Entradas 06 y 07</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docs: add setup guide and git conventions</w:t>
            </w:r>
          </w:p>
        </w:tc>
        <w:tc>
          <w:tcPr>
            <w:tcW w:type="dxa" w:w="3760"/>
            <w:tcMar>
              <w:top w:type="dxa" w:w="80"/>
              <w:left w:type="dxa" w:w="120"/>
              <w:bottom w:type="dxa" w:w="80"/>
              <w:right w:type="dxa" w:w="120"/>
            </w:tcMar>
          </w:tcPr>
          <w:p>
            <w:pPr>
              <w:spacing w:after="0" w:line="276"/>
            </w:pPr>
            <w:r>
              <w:rPr>
                <w:sz w:val="20"/>
                <w:szCs w:val="20"/>
              </w:rPr>
              <w:t xml:space="preserve">Entrada 09</w:t>
            </w:r>
          </w:p>
        </w:tc>
      </w:tr>
      <w:tr>
        <w:tc>
          <w:tcPr>
            <w:tcW w:type="dxa" w:w="1400"/>
            <w:tcMar>
              <w:top w:type="dxa" w:w="80"/>
              <w:left w:type="dxa" w:w="120"/>
              <w:bottom w:type="dxa" w:w="80"/>
              <w:right w:type="dxa" w:w="120"/>
            </w:tcMar>
          </w:tcPr>
          <w:p>
            <w:pPr>
              <w:spacing w:after="0" w:line="276"/>
            </w:pPr>
            <w:r>
              <w:rPr>
                <w:sz w:val="20"/>
                <w:szCs w:val="20"/>
              </w:rPr>
              <w:t xml:space="preserve">01/08/2026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docs: add setup guide and git conventions V2</w:t>
            </w:r>
          </w:p>
        </w:tc>
        <w:tc>
          <w:tcPr>
            <w:tcW w:type="dxa" w:w="3760"/>
            <w:tcMar>
              <w:top w:type="dxa" w:w="80"/>
              <w:left w:type="dxa" w:w="120"/>
              <w:bottom w:type="dxa" w:w="80"/>
              <w:right w:type="dxa" w:w="120"/>
            </w:tcMar>
          </w:tcPr>
          <w:p>
            <w:pPr>
              <w:spacing w:after="0" w:line="276"/>
            </w:pPr>
            <w:r>
              <w:rPr>
                <w:sz w:val="20"/>
                <w:szCs w:val="20"/>
              </w:rPr>
              <w:t xml:space="preserve">Entrada 09</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refactor(db): align entity naming with institutional schema</w:t>
            </w:r>
          </w:p>
        </w:tc>
        <w:tc>
          <w:tcPr>
            <w:tcW w:type="dxa" w:w="3760"/>
            <w:tcMar>
              <w:top w:type="dxa" w:w="80"/>
              <w:left w:type="dxa" w:w="120"/>
              <w:bottom w:type="dxa" w:w="80"/>
              <w:right w:type="dxa" w:w="120"/>
            </w:tcMar>
          </w:tcPr>
          <w:p>
            <w:pPr>
              <w:spacing w:after="0" w:line="276"/>
            </w:pPr>
            <w:r>
              <w:rPr>
                <w:sz w:val="20"/>
                <w:szCs w:val="20"/>
              </w:rPr>
              <w:t xml:space="preserve">Entradas 10 y 11</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chore(db): scaffold migrations for institutional and module tables</w:t>
            </w:r>
          </w:p>
        </w:tc>
        <w:tc>
          <w:tcPr>
            <w:tcW w:type="dxa" w:w="3760"/>
            <w:tcMar>
              <w:top w:type="dxa" w:w="80"/>
              <w:left w:type="dxa" w:w="120"/>
              <w:bottom w:type="dxa" w:w="80"/>
              <w:right w:type="dxa" w:w="120"/>
            </w:tcMar>
          </w:tcPr>
          <w:p>
            <w:pPr>
              <w:spacing w:after="0" w:line="276"/>
            </w:pPr>
            <w:r>
              <w:rPr>
                <w:sz w:val="20"/>
                <w:szCs w:val="20"/>
              </w:rPr>
              <w:t xml:space="preserve">Entrada 12</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chore(db): scaffold models and factories for shared tables</w:t>
            </w:r>
          </w:p>
        </w:tc>
        <w:tc>
          <w:tcPr>
            <w:tcW w:type="dxa" w:w="3760"/>
            <w:tcMar>
              <w:top w:type="dxa" w:w="80"/>
              <w:left w:type="dxa" w:w="120"/>
              <w:bottom w:type="dxa" w:w="80"/>
              <w:right w:type="dxa" w:w="120"/>
            </w:tcMar>
          </w:tcPr>
          <w:p>
            <w:pPr>
              <w:spacing w:after="0" w:line="276"/>
            </w:pPr>
            <w:r>
              <w:rPr>
                <w:sz w:val="20"/>
                <w:szCs w:val="20"/>
              </w:rPr>
              <w:t xml:space="preserve">Entrada 12</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feat(db): define schema for shared and student request tables</w:t>
            </w:r>
          </w:p>
        </w:tc>
        <w:tc>
          <w:tcPr>
            <w:tcW w:type="dxa" w:w="3760"/>
            <w:tcMar>
              <w:top w:type="dxa" w:w="80"/>
              <w:left w:type="dxa" w:w="120"/>
              <w:bottom w:type="dxa" w:w="80"/>
              <w:right w:type="dxa" w:w="120"/>
            </w:tcMar>
          </w:tcPr>
          <w:p>
            <w:pPr>
              <w:spacing w:after="0" w:line="276"/>
            </w:pPr>
            <w:r>
              <w:rPr>
                <w:sz w:val="20"/>
                <w:szCs w:val="20"/>
              </w:rPr>
              <w:t xml:space="preserve">Entrada 12</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refactor(db): remove module schema to rebuild on expanded standard</w:t>
            </w:r>
          </w:p>
        </w:tc>
        <w:tc>
          <w:tcPr>
            <w:tcW w:type="dxa" w:w="3760"/>
            <w:tcMar>
              <w:top w:type="dxa" w:w="80"/>
              <w:left w:type="dxa" w:w="120"/>
              <w:bottom w:type="dxa" w:w="80"/>
              <w:right w:type="dxa" w:w="120"/>
            </w:tcMar>
          </w:tcPr>
          <w:p>
            <w:pPr>
              <w:spacing w:after="0" w:line="276"/>
            </w:pPr>
            <w:r>
              <w:rPr>
                <w:sz w:val="20"/>
                <w:szCs w:val="20"/>
              </w:rPr>
              <w:t xml:space="preserve">Entradas 14 a 20</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feat(db): rebuild schema migrations from expanded institutional standard</w:t>
            </w:r>
          </w:p>
        </w:tc>
        <w:tc>
          <w:tcPr>
            <w:tcW w:type="dxa" w:w="3760"/>
            <w:tcMar>
              <w:top w:type="dxa" w:w="80"/>
              <w:left w:type="dxa" w:w="120"/>
              <w:bottom w:type="dxa" w:w="80"/>
              <w:right w:type="dxa" w:w="120"/>
            </w:tcMar>
          </w:tcPr>
          <w:p>
            <w:pPr>
              <w:spacing w:after="0" w:line="276"/>
            </w:pPr>
            <w:r>
              <w:rPr>
                <w:sz w:val="20"/>
                <w:szCs w:val="20"/>
              </w:rPr>
              <w:t xml:space="preserve">Entrada 21</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feat(models): add Eloquent models with relations for module and shared tables</w:t>
            </w:r>
          </w:p>
        </w:tc>
        <w:tc>
          <w:tcPr>
            <w:tcW w:type="dxa" w:w="3760"/>
            <w:tcMar>
              <w:top w:type="dxa" w:w="80"/>
              <w:left w:type="dxa" w:w="120"/>
              <w:bottom w:type="dxa" w:w="80"/>
              <w:right w:type="dxa" w:w="120"/>
            </w:tcMar>
          </w:tcPr>
          <w:p>
            <w:pPr>
              <w:spacing w:after="0" w:line="276"/>
            </w:pPr>
            <w:r>
              <w:rPr>
                <w:sz w:val="20"/>
                <w:szCs w:val="20"/>
              </w:rPr>
              <w:t xml:space="preserve">Entrada 22</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feat(factories): add model factories with states for acceptance scenarios</w:t>
            </w:r>
          </w:p>
        </w:tc>
        <w:tc>
          <w:tcPr>
            <w:tcW w:type="dxa" w:w="3760"/>
            <w:tcMar>
              <w:top w:type="dxa" w:w="80"/>
              <w:left w:type="dxa" w:w="120"/>
              <w:bottom w:type="dxa" w:w="80"/>
              <w:right w:type="dxa" w:w="120"/>
            </w:tcMar>
          </w:tcPr>
          <w:p>
            <w:pPr>
              <w:spacing w:after="0" w:line="276"/>
            </w:pPr>
            <w:r>
              <w:rPr>
                <w:sz w:val="20"/>
                <w:szCs w:val="20"/>
              </w:rPr>
              <w:t xml:space="preserve">Entrada 23</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feat(seeders): seed RBAC, curriculum and simulated records for acceptance scenarios</w:t>
            </w:r>
          </w:p>
        </w:tc>
        <w:tc>
          <w:tcPr>
            <w:tcW w:type="dxa" w:w="3760"/>
            <w:tcMar>
              <w:top w:type="dxa" w:w="80"/>
              <w:left w:type="dxa" w:w="120"/>
              <w:bottom w:type="dxa" w:w="80"/>
              <w:right w:type="dxa" w:w="120"/>
            </w:tcMar>
          </w:tcPr>
          <w:p>
            <w:pPr>
              <w:spacing w:after="0" w:line="276"/>
            </w:pPr>
            <w:r>
              <w:rPr>
                <w:sz w:val="20"/>
                <w:szCs w:val="20"/>
              </w:rPr>
              <w:t xml:space="preserve">Entrada 24</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chore(config): set Costa Rica timezone and Spanish application locales</w:t>
            </w:r>
          </w:p>
        </w:tc>
        <w:tc>
          <w:tcPr>
            <w:tcW w:type="dxa" w:w="3760"/>
            <w:tcMar>
              <w:top w:type="dxa" w:w="80"/>
              <w:left w:type="dxa" w:w="120"/>
              <w:bottom w:type="dxa" w:w="80"/>
              <w:right w:type="dxa" w:w="120"/>
            </w:tcMar>
          </w:tcPr>
          <w:p>
            <w:pPr>
              <w:spacing w:after="0" w:line="276"/>
            </w:pPr>
            <w:r>
              <w:rPr>
                <w:sz w:val="20"/>
                <w:szCs w:val="20"/>
              </w:rPr>
              <w:t xml:space="preserve">Entrada 25</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docs: log schema rebuild decisions and move AI diary into docs folder</w:t>
            </w:r>
          </w:p>
        </w:tc>
        <w:tc>
          <w:tcPr>
            <w:tcW w:type="dxa" w:w="3760"/>
            <w:tcMar>
              <w:top w:type="dxa" w:w="80"/>
              <w:left w:type="dxa" w:w="120"/>
              <w:bottom w:type="dxa" w:w="80"/>
              <w:right w:type="dxa" w:w="120"/>
            </w:tcMar>
          </w:tcPr>
          <w:p>
            <w:pPr>
              <w:spacing w:after="0" w:line="276"/>
            </w:pPr>
            <w:r>
              <w:rPr>
                <w:sz w:val="20"/>
                <w:szCs w:val="20"/>
              </w:rPr>
              <w:t xml:space="preserve">Entradas 21 a 25</w:t>
            </w:r>
          </w:p>
        </w:tc>
      </w:tr>
      <w:tr>
        <w:tc>
          <w:tcPr>
            <w:tcW w:type="dxa" w:w="1400"/>
            <w:tcMar>
              <w:top w:type="dxa" w:w="80"/>
              <w:left w:type="dxa" w:w="120"/>
              <w:bottom w:type="dxa" w:w="80"/>
              <w:right w:type="dxa" w:w="120"/>
            </w:tcMar>
          </w:tcPr>
          <w:p>
            <w:pPr>
              <w:spacing w:after="0" w:line="276"/>
            </w:pPr>
            <w:r>
              <w:rPr>
                <w:sz w:val="20"/>
                <w:szCs w:val="20"/>
              </w:rPr>
              <w:t xml:space="preserve">02/08/2026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docs: correct database name and refresh setup guide for new contributors</w:t>
            </w:r>
          </w:p>
        </w:tc>
        <w:tc>
          <w:tcPr>
            <w:tcW w:type="dxa" w:w="3760"/>
            <w:tcMar>
              <w:top w:type="dxa" w:w="80"/>
              <w:left w:type="dxa" w:w="120"/>
              <w:bottom w:type="dxa" w:w="80"/>
              <w:right w:type="dxa" w:w="120"/>
            </w:tcMar>
          </w:tcPr>
          <w:p>
            <w:pPr>
              <w:spacing w:after="0" w:line="276"/>
            </w:pPr>
            <w:r>
              <w:rPr>
                <w:sz w:val="20"/>
                <w:szCs w:val="20"/>
              </w:rPr>
              <w:t xml:space="preserve">Entrada 26</w:t>
            </w:r>
          </w:p>
        </w:tc>
      </w:tr>
      <w:tr>
        <w:tc>
          <w:tcPr>
            <w:tcW w:type="dxa" w:w="1400"/>
            <w:tcMar>
              <w:top w:type="dxa" w:w="80"/>
              <w:left w:type="dxa" w:w="120"/>
              <w:bottom w:type="dxa" w:w="80"/>
              <w:right w:type="dxa" w:w="120"/>
            </w:tcMar>
          </w:tcPr>
          <w:p>
            <w:pPr>
              <w:spacing w:after="0" w:line="276"/>
            </w:pPr>
            <w:r>
              <w:rPr>
                <w:sz w:val="20"/>
                <w:szCs w:val="20"/>
              </w:rPr>
              <w:t xml:space="preserve">04/08/2026</w:t>
            </w:r>
          </w:p>
        </w:tc>
        <w:tc>
          <w:tcPr>
            <w:tcW w:type="dxa" w:w="4200"/>
            <w:tcMar>
              <w:top w:type="dxa" w:w="80"/>
              <w:left w:type="dxa" w:w="120"/>
              <w:bottom w:type="dxa" w:w="80"/>
              <w:right w:type="dxa" w:w="120"/>
            </w:tcMar>
          </w:tcPr>
          <w:p>
            <w:r>
              <w:rPr>
                <w:rFonts w:ascii="Consolas" w:cs="Consolas" w:eastAsia="Consolas" w:hAnsi="Consolas"/>
                <w:sz w:val="19"/>
                <w:szCs w:val="19"/>
              </w:rPr>
              <w:t xml:space="preserve">refactor(db): migrate schema and models to English institutional standard</w:t>
            </w:r>
          </w:p>
        </w:tc>
        <w:tc>
          <w:tcPr>
            <w:tcW w:type="dxa" w:w="3760"/>
            <w:tcMar>
              <w:top w:type="dxa" w:w="80"/>
              <w:left w:type="dxa" w:w="120"/>
              <w:bottom w:type="dxa" w:w="80"/>
              <w:right w:type="dxa" w:w="120"/>
            </w:tcMar>
          </w:tcPr>
          <w:p>
            <w:pPr>
              <w:spacing w:after="0" w:line="276"/>
            </w:pPr>
            <w:r>
              <w:rPr>
                <w:sz w:val="20"/>
                <w:szCs w:val="20"/>
              </w:rPr>
              <w:t xml:space="preserve">Entradas 27 y 28</w:t>
            </w:r>
          </w:p>
        </w:tc>
      </w:tr>
    </w:tbl>
    <w:p>
      <w:pPr>
        <w:pStyle w:val="Heading1"/>
        <w:spacing w:after="180" w:before="360"/>
      </w:pPr>
      <w:r>
        <w:rPr>
          <w:b/>
          <w:bCs/>
          <w:color w:val="1F4E79"/>
          <w:sz w:val="30"/>
          <w:szCs w:val="30"/>
        </w:rPr>
        <w:t xml:space="preserve">Entradas pendientes de este avance</w:t>
      </w:r>
    </w:p>
    <w:p>
      <w:pPr>
        <w:spacing w:after="120" w:line="276"/>
      </w:pPr>
      <w:r>
        <w:rPr>
          <w:sz w:val="22"/>
          <w:szCs w:val="22"/>
        </w:rPr>
        <w:t xml:space="preserve">Espacios reservados para las decisiones del primer entregable, a completar conforme se tomen.</w:t>
      </w:r>
    </w:p>
    <w:p>
      <w:pPr>
        <w:pStyle w:val="ListParagraph"/>
        <w:numPr>
          <w:ilvl w:val="0"/>
          <w:numId w:val="2"/>
        </w:numPr>
        <w:spacing w:after="80" w:line="276"/>
      </w:pPr>
      <w:r>
        <w:rPr>
          <w:sz w:val="22"/>
          <w:szCs w:val="22"/>
        </w:rPr>
        <w:t xml:space="preserve">Entrada 29 — Implementación del motor de reglas sobre waiver_rules y de la pantalla de configuración que ES-01 asigna a la Coordinadora.</w:t>
      </w:r>
    </w:p>
    <w:p>
      <w:pPr>
        <w:pStyle w:val="ListParagraph"/>
        <w:numPr>
          <w:ilvl w:val="0"/>
          <w:numId w:val="2"/>
        </w:numPr>
        <w:spacing w:after="80" w:line="276"/>
      </w:pPr>
      <w:r>
        <w:rPr>
          <w:sz w:val="22"/>
          <w:szCs w:val="22"/>
        </w:rPr>
        <w:t xml:space="preserve">Entrada 30 — Resolución del filtro por carrera de la bandeja centralizada (ES-04), pendiente según la Observación 2 de la Entrada 20.</w:t>
      </w:r>
    </w:p>
    <w:p>
      <w:pPr>
        <w:pStyle w:val="ListParagraph"/>
        <w:numPr>
          <w:ilvl w:val="0"/>
          <w:numId w:val="2"/>
        </w:numPr>
        <w:spacing w:after="80" w:line="276"/>
      </w:pPr>
      <w:r>
        <w:rPr>
          <w:sz w:val="22"/>
          <w:szCs w:val="22"/>
        </w:rPr>
        <w:t xml:space="preserve">Entrada 31 — Fuente de días feriados para el cálculo de los cinco días hábiles de ES-03, mediante la API REST externa que exige la ficha.</w:t>
      </w:r>
    </w:p>
    <w:p>
      <w:pPr>
        <w:pStyle w:val="ListParagraph"/>
        <w:numPr>
          <w:ilvl w:val="0"/>
          <w:numId w:val="2"/>
        </w:numPr>
        <w:spacing w:after="80" w:line="276"/>
      </w:pPr>
      <w:r>
        <w:rPr>
          <w:sz w:val="22"/>
          <w:szCs w:val="22"/>
        </w:rPr>
        <w:t xml:space="preserve">Entrada 32 — Unicidad de transfer_credit_precedents y estrategia de búsqueda de precedentes de ES-02, pendientes desde la Observación 4 de la Entrada 20.</w:t>
      </w:r>
    </w:p>
    <w:p>
      <w:pPr>
        <w:pStyle w:val="ListParagraph"/>
        <w:numPr>
          <w:ilvl w:val="0"/>
          <w:numId w:val="2"/>
        </w:numPr>
        <w:spacing w:after="80" w:line="276"/>
      </w:pPr>
      <w:r>
        <w:rPr>
          <w:sz w:val="22"/>
          <w:szCs w:val="22"/>
        </w:rPr>
        <w:t xml:space="preserve">Entrada 33 — Publicación de las traducciones en lang/es para los mensajes de validación, tras fijar APP_LOCALE en español.</w:t>
      </w:r>
    </w:p>
    <w:p>
      <w:pPr>
        <w:pStyle w:val="ListParagraph"/>
        <w:numPr>
          <w:ilvl w:val="0"/>
          <w:numId w:val="2"/>
        </w:numPr>
        <w:spacing w:after="80" w:line="276"/>
      </w:pPr>
      <w:r>
        <w:rPr>
          <w:sz w:val="22"/>
          <w:szCs w:val="22"/>
        </w:rPr>
        <w:t xml:space="preserve">Entrada 34 — Pruebas unitarias de detección de duplicados, obligatorias por la consecuencia asumida en la Entrada 17.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Diario de Decisiones Técnicas e IA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2026-08-02T14:22:59.196Z</dcterms:created>
  <dcterms:modified xsi:type="dcterms:W3CDTF">2026-08-02T14:22:59.209Z</dcterms:modified>
</cp:coreProperties>
</file>

<file path=docProps/custom.xml><?xml version="1.0" encoding="utf-8"?>
<Properties xmlns="http://schemas.openxmlformats.org/officeDocument/2006/custom-properties" xmlns:vt="http://schemas.openxmlformats.org/officeDocument/2006/docPropsVTypes"/>
</file>