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4"/>
          <w:szCs w:val="44"/>
        </w:rPr>
        <w:t xml:space="preserve">Active Directory Home Folders</w:t>
      </w:r>
    </w:p>
    <w:p>
      <w:pPr>
        <w:spacing w:after="40"/>
        <w:jc w:val="center"/>
      </w:pPr>
      <w:r>
        <w:rPr>
          <w:color w:val="1F3864"/>
          <w:sz w:val="28"/>
          <w:szCs w:val="28"/>
        </w:rPr>
        <w:t xml:space="preserve">Setup and Configuration Guide</w:t>
      </w:r>
    </w:p>
    <w:p>
      <w:pPr>
        <w:spacing w:after="300"/>
        <w:jc w:val="center"/>
      </w:pPr>
      <w:r>
        <w:rPr>
          <w:i/>
          <w:iCs/>
          <w:color w:val="808080"/>
          <w:sz w:val="20"/>
          <w:szCs w:val="20"/>
        </w:rPr>
        <w:t xml:space="preserve">Secure, per-user network home drive (H:) mapping for domain clients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E7EEF5" w:val="clear"/>
            <w:tcMar>
              <w:top w:type="dxa" w:w="80"/>
              <w:left w:type="dxa" w:w="120"/>
              <w:bottom w:type="dxa" w:w="80"/>
              <w:right w:type="dxa" w:w="120"/>
            </w:tcMar>
          </w:tcPr>
          <w:p>
            <w:r>
              <w:rPr>
                <w:b w:val="false"/>
                <w:bCs w:val="false"/>
                <w:color w:val="000000"/>
                <w:sz w:val="20"/>
                <w:szCs w:val="20"/>
              </w:rPr>
              <w:t xml:space="preserve">Document ID</w:t>
            </w:r>
          </w:p>
        </w:tc>
        <w:tc>
          <w:tcPr>
            <w:tcW w:type="dxa" w:w="6800"/>
            <w:tcMar>
              <w:top w:type="dxa" w:w="80"/>
              <w:left w:type="dxa" w:w="120"/>
              <w:bottom w:type="dxa" w:w="80"/>
              <w:right w:type="dxa" w:w="120"/>
            </w:tcMar>
          </w:tcPr>
          <w:p>
            <w:r>
              <w:rPr>
                <w:b w:val="false"/>
                <w:bCs w:val="false"/>
                <w:color w:val="000000"/>
                <w:sz w:val="20"/>
                <w:szCs w:val="20"/>
              </w:rPr>
              <w:t xml:space="preserve">AD-SOP-005</w:t>
            </w:r>
          </w:p>
        </w:tc>
      </w:tr>
      <w:tr>
        <w:tc>
          <w:tcPr>
            <w:tcW w:type="dxa" w:w="2200"/>
            <w:shd w:fill="F2F2F2" w:val="clear"/>
            <w:tcMar>
              <w:top w:type="dxa" w:w="80"/>
              <w:left w:type="dxa" w:w="120"/>
              <w:bottom w:type="dxa" w:w="80"/>
              <w:right w:type="dxa" w:w="120"/>
            </w:tcMar>
          </w:tcPr>
          <w:p>
            <w:r>
              <w:rPr>
                <w:b w:val="false"/>
                <w:bCs w:val="false"/>
                <w:color w:val="000000"/>
                <w:sz w:val="20"/>
                <w:szCs w:val="20"/>
              </w:rPr>
              <w:t xml:space="preserve">Scope</w:t>
            </w:r>
          </w:p>
        </w:tc>
        <w:tc>
          <w:tcPr>
            <w:tcW w:type="dxa" w:w="6800"/>
            <w:shd w:fill="F2F2F2" w:val="clear"/>
            <w:tcMar>
              <w:top w:type="dxa" w:w="80"/>
              <w:left w:type="dxa" w:w="120"/>
              <w:bottom w:type="dxa" w:w="80"/>
              <w:right w:type="dxa" w:w="120"/>
            </w:tcMar>
          </w:tcPr>
          <w:p>
            <w:r>
              <w:rPr>
                <w:b w:val="false"/>
                <w:bCs w:val="false"/>
                <w:color w:val="000000"/>
                <w:sz w:val="20"/>
                <w:szCs w:val="20"/>
              </w:rPr>
              <w:t xml:space="preserve">Windows Server (AD DS) domain environments, Windows 10/11 clients</w:t>
            </w:r>
          </w:p>
        </w:tc>
      </w:tr>
      <w:tr>
        <w:tc>
          <w:tcPr>
            <w:tcW w:type="dxa" w:w="2200"/>
            <w:shd w:fill="E7EEF5" w:val="clear"/>
            <w:tcMar>
              <w:top w:type="dxa" w:w="80"/>
              <w:left w:type="dxa" w:w="120"/>
              <w:bottom w:type="dxa" w:w="80"/>
              <w:right w:type="dxa" w:w="120"/>
            </w:tcMar>
          </w:tcPr>
          <w:p>
            <w:r>
              <w:rPr>
                <w:b w:val="false"/>
                <w:bCs w:val="false"/>
                <w:color w:val="000000"/>
                <w:sz w:val="20"/>
                <w:szCs w:val="20"/>
              </w:rPr>
              <w:t xml:space="preserve">Owner</w:t>
            </w:r>
          </w:p>
        </w:tc>
        <w:tc>
          <w:tcPr>
            <w:tcW w:type="dxa" w:w="6800"/>
            <w:tcMar>
              <w:top w:type="dxa" w:w="80"/>
              <w:left w:type="dxa" w:w="120"/>
              <w:bottom w:type="dxa" w:w="80"/>
              <w:right w:type="dxa" w:w="120"/>
            </w:tcMar>
          </w:tcPr>
          <w:p>
            <w:r>
              <w:rPr>
                <w:b w:val="false"/>
                <w:bCs w:val="false"/>
                <w:color w:val="000000"/>
                <w:sz w:val="20"/>
                <w:szCs w:val="20"/>
              </w:rPr>
              <w:t xml:space="preserve">IT Specialist — Systems / Infrastructure</w:t>
            </w:r>
          </w:p>
        </w:tc>
      </w:tr>
      <w:tr>
        <w:tc>
          <w:tcPr>
            <w:tcW w:type="dxa" w:w="2200"/>
            <w:shd w:fill="F2F2F2" w:val="clear"/>
            <w:tcMar>
              <w:top w:type="dxa" w:w="80"/>
              <w:left w:type="dxa" w:w="120"/>
              <w:bottom w:type="dxa" w:w="80"/>
              <w:right w:type="dxa" w:w="120"/>
            </w:tcMar>
          </w:tcPr>
          <w:p>
            <w:r>
              <w:rPr>
                <w:b w:val="false"/>
                <w:bCs w:val="false"/>
                <w:color w:val="000000"/>
                <w:sz w:val="20"/>
                <w:szCs w:val="20"/>
              </w:rPr>
              <w:t xml:space="preserve">Prerequisites</w:t>
            </w:r>
          </w:p>
        </w:tc>
        <w:tc>
          <w:tcPr>
            <w:tcW w:type="dxa" w:w="6800"/>
            <w:shd w:fill="F2F2F2" w:val="clear"/>
            <w:tcMar>
              <w:top w:type="dxa" w:w="80"/>
              <w:left w:type="dxa" w:w="120"/>
              <w:bottom w:type="dxa" w:w="80"/>
              <w:right w:type="dxa" w:w="120"/>
            </w:tcMar>
          </w:tcPr>
          <w:p>
            <w:r>
              <w:rPr>
                <w:b w:val="false"/>
                <w:bCs w:val="false"/>
                <w:color w:val="000000"/>
                <w:sz w:val="20"/>
                <w:szCs w:val="20"/>
              </w:rPr>
              <w:t xml:space="preserve">Domain Admin or delegated OU rights; access to ADUC and the file server</w:t>
            </w:r>
          </w:p>
        </w:tc>
      </w:tr>
      <w:tr>
        <w:tc>
          <w:tcPr>
            <w:tcW w:type="dxa" w:w="2200"/>
            <w:shd w:fill="E7EEF5" w:val="clear"/>
            <w:tcMar>
              <w:top w:type="dxa" w:w="80"/>
              <w:left w:type="dxa" w:w="120"/>
              <w:bottom w:type="dxa" w:w="80"/>
              <w:right w:type="dxa" w:w="120"/>
            </w:tcMar>
          </w:tcPr>
          <w:p>
            <w:r>
              <w:rPr>
                <w:b w:val="false"/>
                <w:bCs w:val="false"/>
                <w:color w:val="000000"/>
                <w:sz w:val="20"/>
                <w:szCs w:val="20"/>
              </w:rPr>
              <w:t xml:space="preserve">Related SOPs</w:t>
            </w:r>
          </w:p>
        </w:tc>
        <w:tc>
          <w:tcPr>
            <w:tcW w:type="dxa" w:w="6800"/>
            <w:tcMar>
              <w:top w:type="dxa" w:w="80"/>
              <w:left w:type="dxa" w:w="120"/>
              <w:bottom w:type="dxa" w:w="80"/>
              <w:right w:type="dxa" w:w="120"/>
            </w:tcMar>
          </w:tcPr>
          <w:p>
            <w:r>
              <w:rPr>
                <w:b w:val="false"/>
                <w:bCs w:val="false"/>
                <w:color w:val="000000"/>
                <w:sz w:val="20"/>
                <w:szCs w:val="20"/>
              </w:rPr>
              <w:t xml:space="preserve">AD-SOP-004 (Roaming Profiles), Onboarding/Offboarding SOP, File Server ACL Standards</w:t>
            </w:r>
          </w:p>
        </w:tc>
      </w:tr>
    </w:tbl>
    <w:p>
      <w:pPr>
        <w:spacing w:after="200"/>
      </w:pPr>
    </w:p>
    <w:p>
      <w:pPr>
        <w:pStyle w:val="Heading1"/>
        <w:spacing w:after="140" w:before="280"/>
      </w:pPr>
      <w:r>
        <w:t xml:space="preserve">Overview</w:t>
      </w:r>
    </w:p>
    <w:p>
      <w:pPr>
        <w:spacing w:after="160"/>
      </w:pPr>
      <w:r>
        <w:t xml:space="preserve">This guide documents the configuration of secure, automated Home Folders (Home Drive, mapped as H:) for Active Directory user accounts. It covers share provisioning, NTFS permission hardening for per-user isolation, linking the home folder path in AD, and a verification procedure on a client machine.</w:t>
      </w:r>
    </w:p>
    <w:p>
      <w:pPr>
        <w:spacing w:after="160"/>
      </w:pPr>
      <w:r>
        <w:t xml:space="preserve">A home folder gives each user a private, network-based storage location that is automatically mapped to a drive letter at logon, independent of which workstation they use. As with roaming profiles, the share holds personal data for every domain user, so correct permissioning is essential — a misconfigured ACL can expose one user's files to another.</w:t>
      </w:r>
    </w:p>
    <w:p>
      <w:pPr>
        <w:pStyle w:val="Heading1"/>
        <w:spacing w:after="140" w:before="280"/>
      </w:pPr>
      <w:r>
        <w:t xml:space="preserve">Step 1 — Create the Share and Configure Network Share Permissions</w:t>
      </w:r>
    </w:p>
    <w:p>
      <w:pPr>
        <w:spacing w:after="160"/>
      </w:pPr>
      <w:r>
        <w:t xml:space="preserve">Create a hidden root directory on the file server to hold every user's individual home folder:</w:t>
      </w:r>
    </w:p>
    <w:p>
      <w:pPr>
        <w:pStyle w:val="ListParagraph"/>
        <w:numPr>
          <w:ilvl w:val="0"/>
          <w:numId w:val="2"/>
        </w:numPr>
        <w:spacing w:after="80"/>
      </w:pPr>
      <w:r>
        <w:t xml:space="preserve">Folder Path: C:\AD-shares\HomePath$</w:t>
      </w:r>
    </w:p>
    <w:p>
      <w:pPr>
        <w:pStyle w:val="ListParagraph"/>
        <w:numPr>
          <w:ilvl w:val="0"/>
          <w:numId w:val="2"/>
        </w:numPr>
        <w:spacing w:after="80"/>
      </w:pPr>
      <w:r>
        <w:t xml:space="preserve">Advanced Sharing Name: HomePath$</w:t>
      </w:r>
    </w:p>
    <w:p>
      <w:pPr>
        <w:spacing w:after="160"/>
      </w:pPr>
      <w:r>
        <w:t xml:space="preserve">Use Advanced Sharing rather than the simple sharing wizard, and configure the following share permissions: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700"/>
      </w:tblGrid>
      <w:tr>
        <w:trPr>
          <w:tblHeader/>
        </w:trPr>
        <w:tc>
          <w:tcPr>
            <w:tcW w:type="dxa" w:w="3200"/>
            <w:shd w:fill="1F3864" w:val="clear"/>
            <w:tcMar>
              <w:top w:type="dxa" w:w="80"/>
              <w:left w:type="dxa" w:w="120"/>
              <w:bottom w:type="dxa" w:w="80"/>
              <w:right w:type="dxa" w:w="120"/>
            </w:tcMar>
          </w:tcPr>
          <w:p>
            <w:r>
              <w:rPr>
                <w:b/>
                <w:bCs/>
                <w:color w:val="FFFFFF"/>
                <w:sz w:val="20"/>
                <w:szCs w:val="20"/>
              </w:rPr>
              <w:t xml:space="preserve">Principal</w:t>
            </w:r>
          </w:p>
        </w:tc>
        <w:tc>
          <w:tcPr>
            <w:tcW w:type="dxa" w:w="2400"/>
            <w:shd w:fill="1F3864" w:val="clear"/>
            <w:tcMar>
              <w:top w:type="dxa" w:w="80"/>
              <w:left w:type="dxa" w:w="120"/>
              <w:bottom w:type="dxa" w:w="80"/>
              <w:right w:type="dxa" w:w="120"/>
            </w:tcMar>
          </w:tcPr>
          <w:p>
            <w:r>
              <w:rPr>
                <w:b/>
                <w:bCs/>
                <w:color w:val="FFFFFF"/>
                <w:sz w:val="20"/>
                <w:szCs w:val="20"/>
              </w:rPr>
              <w:t xml:space="preserve">Share Permission</w:t>
            </w:r>
          </w:p>
        </w:tc>
        <w:tc>
          <w:tcPr>
            <w:tcW w:type="dxa" w:w="2700"/>
            <w:shd w:fill="1F3864" w:val="clear"/>
            <w:tcMar>
              <w:top w:type="dxa" w:w="80"/>
              <w:left w:type="dxa" w:w="120"/>
              <w:bottom w:type="dxa" w:w="80"/>
              <w:right w:type="dxa" w:w="120"/>
            </w:tcMar>
          </w:tcPr>
          <w:p>
            <w:r>
              <w:rPr>
                <w:b/>
                <w:bCs/>
                <w:color w:val="FFFFFF"/>
                <w:sz w:val="20"/>
                <w:szCs w:val="20"/>
              </w:rPr>
              <w:t xml:space="preserve">Notes</w:t>
            </w:r>
          </w:p>
        </w:tc>
      </w:tr>
      <w:tr>
        <w:tc>
          <w:tcPr>
            <w:tcW w:type="dxa" w:w="3200"/>
            <w:tcMar>
              <w:top w:type="dxa" w:w="80"/>
              <w:left w:type="dxa" w:w="120"/>
              <w:bottom w:type="dxa" w:w="80"/>
              <w:right w:type="dxa" w:w="120"/>
            </w:tcMar>
          </w:tcPr>
          <w:p>
            <w:r>
              <w:rPr>
                <w:b w:val="false"/>
                <w:bCs w:val="false"/>
                <w:color w:val="000000"/>
                <w:sz w:val="20"/>
                <w:szCs w:val="20"/>
              </w:rPr>
              <w:t xml:space="preserve">Authenticated Users</w:t>
            </w:r>
          </w:p>
        </w:tc>
        <w:tc>
          <w:tcPr>
            <w:tcW w:type="dxa" w:w="2400"/>
            <w:tcMar>
              <w:top w:type="dxa" w:w="80"/>
              <w:left w:type="dxa" w:w="120"/>
              <w:bottom w:type="dxa" w:w="80"/>
              <w:right w:type="dxa" w:w="120"/>
            </w:tcMar>
          </w:tcPr>
          <w:p>
            <w:r>
              <w:rPr>
                <w:b w:val="false"/>
                <w:bCs w:val="false"/>
                <w:color w:val="000000"/>
                <w:sz w:val="20"/>
                <w:szCs w:val="20"/>
              </w:rPr>
              <w:t xml:space="preserve">Full Control</w:t>
            </w:r>
          </w:p>
        </w:tc>
        <w:tc>
          <w:tcPr>
            <w:tcW w:type="dxa" w:w="2700"/>
            <w:tcMar>
              <w:top w:type="dxa" w:w="80"/>
              <w:left w:type="dxa" w:w="120"/>
              <w:bottom w:type="dxa" w:w="80"/>
              <w:right w:type="dxa" w:w="120"/>
            </w:tcMar>
          </w:tcPr>
          <w:p>
            <w:r>
              <w:rPr>
                <w:b w:val="false"/>
                <w:bCs w:val="false"/>
                <w:color w:val="000000"/>
                <w:sz w:val="20"/>
                <w:szCs w:val="20"/>
              </w:rPr>
              <w:t xml:space="preserve">Allows any domain user to reach the share; real access control is enforced at the NTFS layer below.</w:t>
            </w:r>
          </w:p>
        </w:tc>
      </w:tr>
      <w:tr>
        <w:tc>
          <w:tcPr>
            <w:tcW w:type="dxa" w:w="3200"/>
            <w:shd w:fill="F2F2F2" w:val="clear"/>
            <w:tcMar>
              <w:top w:type="dxa" w:w="80"/>
              <w:left w:type="dxa" w:w="120"/>
              <w:bottom w:type="dxa" w:w="80"/>
              <w:right w:type="dxa" w:w="120"/>
            </w:tcMar>
          </w:tcPr>
          <w:p>
            <w:r>
              <w:rPr>
                <w:b w:val="false"/>
                <w:bCs w:val="false"/>
                <w:color w:val="000000"/>
                <w:sz w:val="20"/>
                <w:szCs w:val="20"/>
              </w:rPr>
              <w:t xml:space="preserve">Administrators</w:t>
            </w:r>
          </w:p>
        </w:tc>
        <w:tc>
          <w:tcPr>
            <w:tcW w:type="dxa" w:w="2400"/>
            <w:shd w:fill="F2F2F2" w:val="clear"/>
            <w:tcMar>
              <w:top w:type="dxa" w:w="80"/>
              <w:left w:type="dxa" w:w="120"/>
              <w:bottom w:type="dxa" w:w="80"/>
              <w:right w:type="dxa" w:w="120"/>
            </w:tcMar>
          </w:tcPr>
          <w:p>
            <w:r>
              <w:rPr>
                <w:b w:val="false"/>
                <w:bCs w:val="false"/>
                <w:color w:val="000000"/>
                <w:sz w:val="20"/>
                <w:szCs w:val="20"/>
              </w:rPr>
              <w:t xml:space="preserve">Full Control</w:t>
            </w:r>
          </w:p>
        </w:tc>
        <w:tc>
          <w:tcPr>
            <w:tcW w:type="dxa" w:w="2700"/>
            <w:shd w:fill="F2F2F2" w:val="clear"/>
            <w:tcMar>
              <w:top w:type="dxa" w:w="80"/>
              <w:left w:type="dxa" w:w="120"/>
              <w:bottom w:type="dxa" w:w="80"/>
              <w:right w:type="dxa" w:w="120"/>
            </w:tcMar>
          </w:tcPr>
          <w:p>
            <w:r>
              <w:rPr>
                <w:b w:val="false"/>
                <w:bCs w:val="false"/>
                <w:color w:val="000000"/>
                <w:sz w:val="20"/>
                <w:szCs w:val="20"/>
              </w:rPr>
              <w:t xml:space="preserve">Standard admin access for management and recovery.</w:t>
            </w:r>
          </w:p>
        </w:tc>
      </w:tr>
      <w:tr>
        <w:tc>
          <w:tcPr>
            <w:tcW w:type="dxa" w:w="3200"/>
            <w:tcMar>
              <w:top w:type="dxa" w:w="80"/>
              <w:left w:type="dxa" w:w="120"/>
              <w:bottom w:type="dxa" w:w="80"/>
              <w:right w:type="dxa" w:w="120"/>
            </w:tcMar>
          </w:tcPr>
          <w:p>
            <w:r>
              <w:rPr>
                <w:b w:val="false"/>
                <w:bCs w:val="false"/>
                <w:color w:val="000000"/>
                <w:sz w:val="20"/>
                <w:szCs w:val="20"/>
              </w:rPr>
              <w:t xml:space="preserve">Users (SERVER\Users)</w:t>
            </w:r>
          </w:p>
        </w:tc>
        <w:tc>
          <w:tcPr>
            <w:tcW w:type="dxa" w:w="2400"/>
            <w:tcMar>
              <w:top w:type="dxa" w:w="80"/>
              <w:left w:type="dxa" w:w="120"/>
              <w:bottom w:type="dxa" w:w="80"/>
              <w:right w:type="dxa" w:w="120"/>
            </w:tcMar>
          </w:tcPr>
          <w:p>
            <w:r>
              <w:rPr>
                <w:b w:val="false"/>
                <w:bCs w:val="false"/>
                <w:color w:val="000000"/>
                <w:sz w:val="20"/>
                <w:szCs w:val="20"/>
              </w:rPr>
              <w:t xml:space="preserve">Removed</w:t>
            </w:r>
          </w:p>
        </w:tc>
        <w:tc>
          <w:tcPr>
            <w:tcW w:type="dxa" w:w="2700"/>
            <w:tcMar>
              <w:top w:type="dxa" w:w="80"/>
              <w:left w:type="dxa" w:w="120"/>
              <w:bottom w:type="dxa" w:w="80"/>
              <w:right w:type="dxa" w:w="120"/>
            </w:tcMar>
          </w:tcPr>
          <w:p>
            <w:r>
              <w:rPr>
                <w:b w:val="false"/>
                <w:bCs w:val="false"/>
                <w:color w:val="000000"/>
                <w:sz w:val="20"/>
                <w:szCs w:val="20"/>
              </w:rPr>
              <w:t xml:space="preserve">The default broad-access group is removed to prevent general browsing of the share.</w:t>
            </w:r>
          </w:p>
        </w:tc>
      </w:tr>
    </w:tbl>
    <w:p>
      <w:pPr>
        <w:pStyle w:val="Heading1"/>
        <w:spacing w:after="140" w:before="280"/>
      </w:pPr>
      <w:r>
        <w:t xml:space="preserve">Step 2 — Configure Advanced NTFS Security Permissions</w:t>
      </w:r>
    </w:p>
    <w:p>
      <w:pPr>
        <w:spacing w:after="160"/>
      </w:pPr>
      <w:r>
        <w:t xml:space="preserve">This is the step that enforces per-user privacy. Navigate to the Security tab of the share's root folder, open Advanced, and select Disable Inheritance → "Convert inherited permissions into explicit permissions" so the folder's ACL is isolated from its parent. Configure the following explicit entries: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2000"/>
        <w:gridCol w:w="2600"/>
      </w:tblGrid>
      <w:tr>
        <w:trPr>
          <w:tblHeader/>
        </w:trPr>
        <w:tc>
          <w:tcPr>
            <w:tcW w:type="dxa" w:w="2100"/>
            <w:shd w:fill="1F3864" w:val="clear"/>
            <w:tcMar>
              <w:top w:type="dxa" w:w="80"/>
              <w:left w:type="dxa" w:w="120"/>
              <w:bottom w:type="dxa" w:w="80"/>
              <w:right w:type="dxa" w:w="120"/>
            </w:tcMar>
          </w:tcPr>
          <w:p>
            <w:r>
              <w:rPr>
                <w:b/>
                <w:bCs/>
                <w:color w:val="FFFFFF"/>
                <w:sz w:val="20"/>
                <w:szCs w:val="20"/>
              </w:rPr>
              <w:t xml:space="preserve">Principal</w:t>
            </w:r>
          </w:p>
        </w:tc>
        <w:tc>
          <w:tcPr>
            <w:tcW w:type="dxa" w:w="2600"/>
            <w:shd w:fill="1F3864" w:val="clear"/>
            <w:tcMar>
              <w:top w:type="dxa" w:w="80"/>
              <w:left w:type="dxa" w:w="120"/>
              <w:bottom w:type="dxa" w:w="80"/>
              <w:right w:type="dxa" w:w="120"/>
            </w:tcMar>
          </w:tcPr>
          <w:p>
            <w:r>
              <w:rPr>
                <w:b/>
                <w:bCs/>
                <w:color w:val="FFFFFF"/>
                <w:sz w:val="20"/>
                <w:szCs w:val="20"/>
              </w:rPr>
              <w:t xml:space="preserve">Access / Permissions</w:t>
            </w:r>
          </w:p>
        </w:tc>
        <w:tc>
          <w:tcPr>
            <w:tcW w:type="dxa" w:w="2000"/>
            <w:shd w:fill="1F3864" w:val="clear"/>
            <w:tcMar>
              <w:top w:type="dxa" w:w="80"/>
              <w:left w:type="dxa" w:w="120"/>
              <w:bottom w:type="dxa" w:w="80"/>
              <w:right w:type="dxa" w:w="120"/>
            </w:tcMar>
          </w:tcPr>
          <w:p>
            <w:r>
              <w:rPr>
                <w:b/>
                <w:bCs/>
                <w:color w:val="FFFFFF"/>
                <w:sz w:val="20"/>
                <w:szCs w:val="20"/>
              </w:rPr>
              <w:t xml:space="preserve">Applies To</w:t>
            </w:r>
          </w:p>
        </w:tc>
        <w:tc>
          <w:tcPr>
            <w:tcW w:type="dxa" w:w="2600"/>
            <w:shd w:fill="1F3864" w:val="clear"/>
            <w:tcMar>
              <w:top w:type="dxa" w:w="80"/>
              <w:left w:type="dxa" w:w="120"/>
              <w:bottom w:type="dxa" w:w="80"/>
              <w:right w:type="dxa" w:w="120"/>
            </w:tcMar>
          </w:tcPr>
          <w:p>
            <w:r>
              <w:rPr>
                <w:b/>
                <w:bCs/>
                <w:color w:val="FFFFFF"/>
                <w:sz w:val="20"/>
                <w:szCs w:val="20"/>
              </w:rPr>
              <w:t xml:space="preserve">Purpose</w:t>
            </w:r>
          </w:p>
        </w:tc>
      </w:tr>
      <w:tr>
        <w:tc>
          <w:tcPr>
            <w:tcW w:type="dxa" w:w="2100"/>
            <w:tcMar>
              <w:top w:type="dxa" w:w="80"/>
              <w:left w:type="dxa" w:w="120"/>
              <w:bottom w:type="dxa" w:w="80"/>
              <w:right w:type="dxa" w:w="120"/>
            </w:tcMar>
          </w:tcPr>
          <w:p>
            <w:r>
              <w:rPr>
                <w:b w:val="false"/>
                <w:bCs w:val="false"/>
                <w:color w:val="000000"/>
                <w:sz w:val="20"/>
                <w:szCs w:val="20"/>
              </w:rPr>
              <w:t xml:space="preserve">SYSTEM</w:t>
            </w:r>
          </w:p>
        </w:tc>
        <w:tc>
          <w:tcPr>
            <w:tcW w:type="dxa" w:w="2600"/>
            <w:tcMar>
              <w:top w:type="dxa" w:w="80"/>
              <w:left w:type="dxa" w:w="120"/>
              <w:bottom w:type="dxa" w:w="80"/>
              <w:right w:type="dxa" w:w="120"/>
            </w:tcMar>
          </w:tcPr>
          <w:p>
            <w:r>
              <w:rPr>
                <w:b w:val="false"/>
                <w:bCs w:val="false"/>
                <w:color w:val="000000"/>
                <w:sz w:val="20"/>
                <w:szCs w:val="20"/>
              </w:rPr>
              <w:t xml:space="preserve">Full Control</w:t>
            </w:r>
          </w:p>
        </w:tc>
        <w:tc>
          <w:tcPr>
            <w:tcW w:type="dxa" w:w="2000"/>
            <w:tcMar>
              <w:top w:type="dxa" w:w="80"/>
              <w:left w:type="dxa" w:w="120"/>
              <w:bottom w:type="dxa" w:w="80"/>
              <w:right w:type="dxa" w:w="120"/>
            </w:tcMar>
          </w:tcPr>
          <w:p>
            <w:r>
              <w:rPr>
                <w:b w:val="false"/>
                <w:bCs w:val="false"/>
                <w:color w:val="000000"/>
                <w:sz w:val="20"/>
                <w:szCs w:val="20"/>
              </w:rPr>
              <w:t xml:space="preserve">This folder, subfolders and files</w:t>
            </w:r>
          </w:p>
        </w:tc>
        <w:tc>
          <w:tcPr>
            <w:tcW w:type="dxa" w:w="2600"/>
            <w:tcMar>
              <w:top w:type="dxa" w:w="80"/>
              <w:left w:type="dxa" w:w="120"/>
              <w:bottom w:type="dxa" w:w="80"/>
              <w:right w:type="dxa" w:w="120"/>
            </w:tcMar>
          </w:tcPr>
          <w:p>
            <w:r>
              <w:rPr>
                <w:b w:val="false"/>
                <w:bCs w:val="false"/>
                <w:color w:val="000000"/>
                <w:sz w:val="20"/>
                <w:szCs w:val="20"/>
              </w:rPr>
              <w:t xml:space="preserve">Required by the OS to manage home folder files.</w:t>
            </w:r>
          </w:p>
        </w:tc>
      </w:tr>
      <w:tr>
        <w:tc>
          <w:tcPr>
            <w:tcW w:type="dxa" w:w="2100"/>
            <w:shd w:fill="F2F2F2" w:val="clear"/>
            <w:tcMar>
              <w:top w:type="dxa" w:w="80"/>
              <w:left w:type="dxa" w:w="120"/>
              <w:bottom w:type="dxa" w:w="80"/>
              <w:right w:type="dxa" w:w="120"/>
            </w:tcMar>
          </w:tcPr>
          <w:p>
            <w:r>
              <w:rPr>
                <w:b w:val="false"/>
                <w:bCs w:val="false"/>
                <w:color w:val="000000"/>
                <w:sz w:val="20"/>
                <w:szCs w:val="20"/>
              </w:rPr>
              <w:t xml:space="preserve">Administrators</w:t>
            </w:r>
          </w:p>
        </w:tc>
        <w:tc>
          <w:tcPr>
            <w:tcW w:type="dxa" w:w="2600"/>
            <w:shd w:fill="F2F2F2" w:val="clear"/>
            <w:tcMar>
              <w:top w:type="dxa" w:w="80"/>
              <w:left w:type="dxa" w:w="120"/>
              <w:bottom w:type="dxa" w:w="80"/>
              <w:right w:type="dxa" w:w="120"/>
            </w:tcMar>
          </w:tcPr>
          <w:p>
            <w:r>
              <w:rPr>
                <w:b w:val="false"/>
                <w:bCs w:val="false"/>
                <w:color w:val="000000"/>
                <w:sz w:val="20"/>
                <w:szCs w:val="20"/>
              </w:rPr>
              <w:t xml:space="preserve">Full Control</w:t>
            </w:r>
          </w:p>
        </w:tc>
        <w:tc>
          <w:tcPr>
            <w:tcW w:type="dxa" w:w="2000"/>
            <w:shd w:fill="F2F2F2" w:val="clear"/>
            <w:tcMar>
              <w:top w:type="dxa" w:w="80"/>
              <w:left w:type="dxa" w:w="120"/>
              <w:bottom w:type="dxa" w:w="80"/>
              <w:right w:type="dxa" w:w="120"/>
            </w:tcMar>
          </w:tcPr>
          <w:p>
            <w:r>
              <w:rPr>
                <w:b w:val="false"/>
                <w:bCs w:val="false"/>
                <w:color w:val="000000"/>
                <w:sz w:val="20"/>
                <w:szCs w:val="20"/>
              </w:rPr>
              <w:t xml:space="preserve">This folder, subfolders and files</w:t>
            </w:r>
          </w:p>
        </w:tc>
        <w:tc>
          <w:tcPr>
            <w:tcW w:type="dxa" w:w="2600"/>
            <w:shd w:fill="F2F2F2" w:val="clear"/>
            <w:tcMar>
              <w:top w:type="dxa" w:w="80"/>
              <w:left w:type="dxa" w:w="120"/>
              <w:bottom w:type="dxa" w:w="80"/>
              <w:right w:type="dxa" w:w="120"/>
            </w:tcMar>
          </w:tcPr>
          <w:p>
            <w:r>
              <w:rPr>
                <w:b w:val="false"/>
                <w:bCs w:val="false"/>
                <w:color w:val="000000"/>
                <w:sz w:val="20"/>
                <w:szCs w:val="20"/>
              </w:rPr>
              <w:t xml:space="preserve">Allows IT to manage/restore home folders when needed.</w:t>
            </w:r>
          </w:p>
        </w:tc>
      </w:tr>
      <w:tr>
        <w:tc>
          <w:tcPr>
            <w:tcW w:type="dxa" w:w="2100"/>
            <w:tcMar>
              <w:top w:type="dxa" w:w="80"/>
              <w:left w:type="dxa" w:w="120"/>
              <w:bottom w:type="dxa" w:w="80"/>
              <w:right w:type="dxa" w:w="120"/>
            </w:tcMar>
          </w:tcPr>
          <w:p>
            <w:r>
              <w:rPr>
                <w:b w:val="false"/>
                <w:bCs w:val="false"/>
                <w:color w:val="000000"/>
                <w:sz w:val="20"/>
                <w:szCs w:val="20"/>
              </w:rPr>
              <w:t xml:space="preserve">CREATOR OWNER</w:t>
            </w:r>
          </w:p>
        </w:tc>
        <w:tc>
          <w:tcPr>
            <w:tcW w:type="dxa" w:w="2600"/>
            <w:tcMar>
              <w:top w:type="dxa" w:w="80"/>
              <w:left w:type="dxa" w:w="120"/>
              <w:bottom w:type="dxa" w:w="80"/>
              <w:right w:type="dxa" w:w="120"/>
            </w:tcMar>
          </w:tcPr>
          <w:p>
            <w:r>
              <w:rPr>
                <w:b w:val="false"/>
                <w:bCs w:val="false"/>
                <w:color w:val="000000"/>
                <w:sz w:val="20"/>
                <w:szCs w:val="20"/>
              </w:rPr>
              <w:t xml:space="preserve">Full Control</w:t>
            </w:r>
          </w:p>
        </w:tc>
        <w:tc>
          <w:tcPr>
            <w:tcW w:type="dxa" w:w="2000"/>
            <w:tcMar>
              <w:top w:type="dxa" w:w="80"/>
              <w:left w:type="dxa" w:w="120"/>
              <w:bottom w:type="dxa" w:w="80"/>
              <w:right w:type="dxa" w:w="120"/>
            </w:tcMar>
          </w:tcPr>
          <w:p>
            <w:r>
              <w:rPr>
                <w:b w:val="false"/>
                <w:bCs w:val="false"/>
                <w:color w:val="000000"/>
                <w:sz w:val="20"/>
                <w:szCs w:val="20"/>
              </w:rPr>
              <w:t xml:space="preserve">Subfolders and files only</w:t>
            </w:r>
          </w:p>
        </w:tc>
        <w:tc>
          <w:tcPr>
            <w:tcW w:type="dxa" w:w="2600"/>
            <w:tcMar>
              <w:top w:type="dxa" w:w="80"/>
              <w:left w:type="dxa" w:w="120"/>
              <w:bottom w:type="dxa" w:w="80"/>
              <w:right w:type="dxa" w:w="120"/>
            </w:tcMar>
          </w:tcPr>
          <w:p>
            <w:r>
              <w:rPr>
                <w:b w:val="false"/>
                <w:bCs w:val="false"/>
                <w:color w:val="000000"/>
                <w:sz w:val="20"/>
                <w:szCs w:val="20"/>
              </w:rPr>
              <w:t xml:space="preserve">Grants the folder owner full rights to their own subfolder only, once created.</w:t>
            </w:r>
          </w:p>
        </w:tc>
      </w:tr>
      <w:tr>
        <w:tc>
          <w:tcPr>
            <w:tcW w:type="dxa" w:w="2100"/>
            <w:shd w:fill="F2F2F2" w:val="clear"/>
            <w:tcMar>
              <w:top w:type="dxa" w:w="80"/>
              <w:left w:type="dxa" w:w="120"/>
              <w:bottom w:type="dxa" w:w="80"/>
              <w:right w:type="dxa" w:w="120"/>
            </w:tcMar>
          </w:tcPr>
          <w:p>
            <w:r>
              <w:rPr>
                <w:b w:val="false"/>
                <w:bCs w:val="false"/>
                <w:color w:val="000000"/>
                <w:sz w:val="20"/>
                <w:szCs w:val="20"/>
              </w:rPr>
              <w:t xml:space="preserve">Authenticated Users</w:t>
            </w:r>
          </w:p>
        </w:tc>
        <w:tc>
          <w:tcPr>
            <w:tcW w:type="dxa" w:w="2600"/>
            <w:shd w:fill="F2F2F2" w:val="clear"/>
            <w:tcMar>
              <w:top w:type="dxa" w:w="80"/>
              <w:left w:type="dxa" w:w="120"/>
              <w:bottom w:type="dxa" w:w="80"/>
              <w:right w:type="dxa" w:w="120"/>
            </w:tcMar>
          </w:tcPr>
          <w:p>
            <w:r>
              <w:rPr>
                <w:b w:val="false"/>
                <w:bCs w:val="false"/>
                <w:color w:val="000000"/>
                <w:sz w:val="20"/>
                <w:szCs w:val="20"/>
              </w:rPr>
              <w:t xml:space="preserve">Read &amp; execute, List folder contents, Read, Write</w:t>
            </w:r>
          </w:p>
        </w:tc>
        <w:tc>
          <w:tcPr>
            <w:tcW w:type="dxa" w:w="2000"/>
            <w:shd w:fill="F2F2F2" w:val="clear"/>
            <w:tcMar>
              <w:top w:type="dxa" w:w="80"/>
              <w:left w:type="dxa" w:w="120"/>
              <w:bottom w:type="dxa" w:w="80"/>
              <w:right w:type="dxa" w:w="120"/>
            </w:tcMar>
          </w:tcPr>
          <w:p>
            <w:r>
              <w:rPr>
                <w:b w:val="false"/>
                <w:bCs w:val="false"/>
                <w:color w:val="000000"/>
                <w:sz w:val="20"/>
                <w:szCs w:val="20"/>
              </w:rPr>
              <w:t xml:space="preserve">This folder only</w:t>
            </w:r>
          </w:p>
        </w:tc>
        <w:tc>
          <w:tcPr>
            <w:tcW w:type="dxa" w:w="2600"/>
            <w:shd w:fill="F2F2F2" w:val="clear"/>
            <w:tcMar>
              <w:top w:type="dxa" w:w="80"/>
              <w:left w:type="dxa" w:w="120"/>
              <w:bottom w:type="dxa" w:w="80"/>
              <w:right w:type="dxa" w:w="120"/>
            </w:tcMar>
          </w:tcPr>
          <w:p>
            <w:r>
              <w:rPr>
                <w:b w:val="false"/>
                <w:bCs w:val="false"/>
                <w:color w:val="000000"/>
                <w:sz w:val="20"/>
                <w:szCs w:val="20"/>
              </w:rPr>
              <w:t xml:space="preserve">Lets any domain user create their own home folder at first logon. Isolation from other users' folders comes from disabled inheritance + explicit ACEs, not from this entry.</w:t>
            </w:r>
          </w:p>
        </w:tc>
      </w:tr>
      <w:tr>
        <w:tc>
          <w:tcPr>
            <w:tcW w:type="dxa" w:w="2100"/>
            <w:tcMar>
              <w:top w:type="dxa" w:w="80"/>
              <w:left w:type="dxa" w:w="120"/>
              <w:bottom w:type="dxa" w:w="80"/>
              <w:right w:type="dxa" w:w="120"/>
            </w:tcMar>
          </w:tcPr>
          <w:p>
            <w:r>
              <w:rPr>
                <w:b w:val="false"/>
                <w:bCs w:val="false"/>
                <w:color w:val="000000"/>
                <w:sz w:val="20"/>
                <w:szCs w:val="20"/>
              </w:rPr>
              <w:t xml:space="preserve">Users (SERVER\Users)</w:t>
            </w:r>
          </w:p>
        </w:tc>
        <w:tc>
          <w:tcPr>
            <w:tcW w:type="dxa" w:w="2600"/>
            <w:tcMar>
              <w:top w:type="dxa" w:w="80"/>
              <w:left w:type="dxa" w:w="120"/>
              <w:bottom w:type="dxa" w:w="80"/>
              <w:right w:type="dxa" w:w="120"/>
            </w:tcMar>
          </w:tcPr>
          <w:p>
            <w:r>
              <w:rPr>
                <w:b w:val="false"/>
                <w:bCs w:val="false"/>
                <w:color w:val="000000"/>
                <w:sz w:val="20"/>
                <w:szCs w:val="20"/>
              </w:rPr>
              <w:t xml:space="preserve">Removed</w:t>
            </w:r>
          </w:p>
        </w:tc>
        <w:tc>
          <w:tcPr>
            <w:tcW w:type="dxa" w:w="2000"/>
            <w:tcMar>
              <w:top w:type="dxa" w:w="80"/>
              <w:left w:type="dxa" w:w="120"/>
              <w:bottom w:type="dxa" w:w="80"/>
              <w:right w:type="dxa" w:w="120"/>
            </w:tcMar>
          </w:tcPr>
          <w:p>
            <w:r>
              <w:rPr>
                <w:b w:val="false"/>
                <w:bCs w:val="false"/>
                <w:color w:val="000000"/>
                <w:sz w:val="20"/>
                <w:szCs w:val="20"/>
              </w:rPr>
              <w:t xml:space="preserve">N/A</w:t>
            </w:r>
          </w:p>
        </w:tc>
        <w:tc>
          <w:tcPr>
            <w:tcW w:type="dxa" w:w="2600"/>
            <w:tcMar>
              <w:top w:type="dxa" w:w="80"/>
              <w:left w:type="dxa" w:w="120"/>
              <w:bottom w:type="dxa" w:w="80"/>
              <w:right w:type="dxa" w:w="120"/>
            </w:tcMar>
          </w:tcPr>
          <w:p>
            <w:r>
              <w:rPr>
                <w:b w:val="false"/>
                <w:bCs w:val="false"/>
                <w:color w:val="000000"/>
                <w:sz w:val="20"/>
                <w:szCs w:val="20"/>
              </w:rPr>
              <w:t xml:space="preserve">The default broad-access group is removed so it cannot override the explicit ACEs above.</w:t>
            </w:r>
          </w:p>
        </w:tc>
      </w:tr>
    </w:tbl>
    <w:p>
      <w:pPr>
        <w:spacing w:after="100"/>
      </w:pPr>
    </w:p>
    <w:p>
      <w:pPr>
        <w:pBdr>
          <w:left w:val="single" w:color="1F3864" w:sz="18" w:space="8"/>
        </w:pBdr>
        <w:shd w:fill="DDEBF7" w:val="clear"/>
        <w:spacing w:after="200" w:before="80"/>
        <w:ind w:left="100"/>
      </w:pPr>
      <w:r>
        <w:rPr>
          <w:b/>
          <w:bCs/>
          <w:color w:val="1F3864"/>
        </w:rPr>
        <w:t xml:space="preserve">NOTE: </w:t>
      </w:r>
      <w:r>
        <w:t xml:space="preserve">Remove the default 'Users (SERVER\Users)' group entirely from the ACL. Leaving it in place is the most common cause of users being able to browse each other's home folders.</w:t>
      </w:r>
    </w:p>
    <w:p>
      <w:pPr>
        <w:pStyle w:val="Heading1"/>
        <w:spacing w:after="140" w:before="280"/>
      </w:pPr>
      <w:r>
        <w:t xml:space="preserve">Step 3 — Link the Home Folder in Active Directory</w:t>
      </w:r>
    </w:p>
    <w:p>
      <w:pPr>
        <w:spacing w:after="160"/>
      </w:pPr>
      <w:r>
        <w:t xml:space="preserve">Open Active Directory Users and Computers (ADUC), select the target user, open Properties → Profile tab, and configure the Home Folder section:</w:t>
      </w:r>
    </w:p>
    <w:p>
      <w:pPr>
        <w:pStyle w:val="ListParagraph"/>
        <w:numPr>
          <w:ilvl w:val="0"/>
          <w:numId w:val="3"/>
        </w:numPr>
        <w:spacing w:after="100"/>
      </w:pPr>
      <w:r>
        <w:t xml:space="preserve">Select the Connect radio button.</w:t>
      </w:r>
    </w:p>
    <w:p>
      <w:pPr>
        <w:pStyle w:val="ListParagraph"/>
        <w:numPr>
          <w:ilvl w:val="0"/>
          <w:numId w:val="3"/>
        </w:numPr>
        <w:spacing w:after="100"/>
      </w:pPr>
      <w:r>
        <w:t xml:space="preserve">From the drive-letter drop-down, choose the desired network letter: H:</w:t>
      </w:r>
    </w:p>
    <w:p>
      <w:pPr>
        <w:pStyle w:val="ListParagraph"/>
        <w:numPr>
          <w:ilvl w:val="0"/>
          <w:numId w:val="3"/>
        </w:numPr>
        <w:spacing w:after="100"/>
      </w:pPr>
      <w:r>
        <w:t xml:space="preserve">In the To: field, type the exact UNC path using the username variable:</w:t>
      </w:r>
    </w:p>
    <w:p>
      <w:pPr>
        <w:shd w:fill="F2F2F2" w:val="clear"/>
        <w:spacing w:after="160" w:before="80"/>
        <w:jc w:val="center"/>
      </w:pPr>
      <w:r>
        <w:rPr>
          <w:rFonts w:ascii="Consolas" w:cs="Consolas" w:eastAsia="Consolas" w:hAnsi="Consolas"/>
          <w:sz w:val="22"/>
          <w:szCs w:val="22"/>
        </w:rPr>
        <w:t xml:space="preserve">\\serverlab\HomePath$\%username%</w:t>
      </w:r>
    </w:p>
    <w:p>
      <w:pPr>
        <w:pStyle w:val="ListParagraph"/>
        <w:numPr>
          <w:ilvl w:val="0"/>
          <w:numId w:val="3"/>
        </w:numPr>
        <w:spacing w:after="100"/>
      </w:pPr>
      <w:r>
        <w:t xml:space="preserve">Click Apply.</w:t>
      </w:r>
    </w:p>
    <w:p>
      <w:pPr>
        <w:spacing w:after="160"/>
      </w:pPr>
      <w:r>
        <w:t xml:space="preserve">On Apply, AD automatically resolves %username% to the user's actual sAMAccountName (e.g. j.acebuche), so the same path string can be applied in bulk across many accounts via ADUC multi-select or PowerShell.</w:t>
      </w:r>
    </w:p>
    <w:p>
      <w:pPr>
        <w:pStyle w:val="Heading1"/>
        <w:spacing w:after="140" w:before="280"/>
      </w:pPr>
      <w:r>
        <w:t xml:space="preserve">Step 4 — Test and Verify</w:t>
      </w:r>
    </w:p>
    <w:p>
      <w:pPr>
        <w:pStyle w:val="ListParagraph"/>
        <w:numPr>
          <w:ilvl w:val="0"/>
          <w:numId w:val="4"/>
        </w:numPr>
        <w:spacing w:after="100"/>
      </w:pPr>
      <w:r>
        <w:t xml:space="preserve">Log in as the target user (e.g. j.acebuche) on a computer joined to the domain.</w:t>
      </w:r>
    </w:p>
    <w:p>
      <w:pPr>
        <w:pStyle w:val="ListParagraph"/>
        <w:numPr>
          <w:ilvl w:val="0"/>
          <w:numId w:val="4"/>
        </w:numPr>
        <w:spacing w:after="100"/>
      </w:pPr>
      <w:r>
        <w:t xml:space="preserve">Open This PC / File Explorer. A new network location drive (H:) should be visible.</w:t>
      </w:r>
    </w:p>
    <w:p>
      <w:pPr>
        <w:pStyle w:val="ListParagraph"/>
        <w:numPr>
          <w:ilvl w:val="0"/>
          <w:numId w:val="4"/>
        </w:numPr>
        <w:spacing w:after="100"/>
      </w:pPr>
      <w:r>
        <w:t xml:space="preserve">Save a test file inside Drive H:. It should be stored automatically on the server.</w:t>
      </w:r>
    </w:p>
    <w:p>
      <w:pPr>
        <w:pStyle w:val="ListParagraph"/>
        <w:numPr>
          <w:ilvl w:val="0"/>
          <w:numId w:val="4"/>
        </w:numPr>
        <w:spacing w:after="100"/>
      </w:pPr>
      <w:r>
        <w:t xml:space="preserve">On the server, confirm the file appears inside the user's folder under C:\AD-shares\HomePath$.</w:t>
      </w:r>
    </w:p>
    <w:p>
      <w:pPr>
        <w:pStyle w:val="ListParagraph"/>
        <w:numPr>
          <w:ilvl w:val="0"/>
          <w:numId w:val="4"/>
        </w:numPr>
        <w:spacing w:after="100"/>
      </w:pPr>
      <w:r>
        <w:t xml:space="preserve">As with roaming profiles, attempt to open another user's home folder using an account that is not the owner or an Administrator with standing access. A permission-denied result confirms isolation is working as intended.</w:t>
      </w:r>
    </w:p>
    <w:p>
      <w:pPr>
        <w:pStyle w:val="Heading1"/>
        <w:spacing w:after="140" w:before="280"/>
      </w:pPr>
      <w:r>
        <w:t xml:space="preserve">Additional Considerations</w:t>
      </w:r>
    </w:p>
    <w:p>
      <w:pPr>
        <w:pStyle w:val="ListParagraph"/>
        <w:numPr>
          <w:ilvl w:val="0"/>
          <w:numId w:val="2"/>
        </w:numPr>
        <w:spacing w:after="80"/>
      </w:pPr>
      <w:r>
        <w:rPr>
          <w:b/>
          <w:bCs/>
        </w:rPr>
        <w:t xml:space="preserve">Storage quotas: </w:t>
      </w:r>
      <w:r>
        <w:t xml:space="preserve">Set storage quotas per user via File Server Resource Manager (FSRM) to prevent uncontrolled growth of the HomePath$ share.</w:t>
      </w:r>
    </w:p>
    <w:p>
      <w:pPr>
        <w:pStyle w:val="ListParagraph"/>
        <w:numPr>
          <w:ilvl w:val="0"/>
          <w:numId w:val="2"/>
        </w:numPr>
        <w:spacing w:after="80"/>
      </w:pPr>
      <w:r>
        <w:rPr>
          <w:b/>
          <w:bCs/>
        </w:rPr>
        <w:t xml:space="preserve">Home folder vs. Folder Redirection: </w:t>
      </w:r>
      <w:r>
        <w:t xml:space="preserve">Home folders map a drive letter and are best suited to simple personal storage. For redirecting specific folders (Desktop, Documents, Pictures) with more granular policy control, use Folder Redirection via Group Policy instead of, or alongside, home folders.</w:t>
      </w:r>
    </w:p>
    <w:p>
      <w:pPr>
        <w:pStyle w:val="ListParagraph"/>
        <w:numPr>
          <w:ilvl w:val="0"/>
          <w:numId w:val="2"/>
        </w:numPr>
        <w:spacing w:after="80"/>
      </w:pPr>
      <w:r>
        <w:rPr>
          <w:b/>
          <w:bCs/>
        </w:rPr>
        <w:t xml:space="preserve">Offline access: </w:t>
      </w:r>
      <w:r>
        <w:t xml:space="preserve">If users work with large files over VPN or slow links, expect slower access to Drive H: since it is a live network path, not a synced local cache (unlike Offline Files/Folder Redirection with caching enabled).</w:t>
      </w:r>
    </w:p>
    <w:p>
      <w:pPr>
        <w:pStyle w:val="ListParagraph"/>
        <w:numPr>
          <w:ilvl w:val="0"/>
          <w:numId w:val="2"/>
        </w:numPr>
        <w:spacing w:after="80"/>
      </w:pPr>
      <w:r>
        <w:rPr>
          <w:b/>
          <w:bCs/>
        </w:rPr>
        <w:t xml:space="preserve">Environment variables: </w:t>
      </w:r>
      <w:r>
        <w:t xml:space="preserve">Home folder paths set here are also used automatically by legacy applications and command-line tools that reference %HOMESHARE% and %HOMEPATH%, so verify any in-house scripts relying on these variables after rollout.</w:t>
      </w:r>
    </w:p>
    <w:p>
      <w:pPr>
        <w:pStyle w:val="ListParagraph"/>
        <w:numPr>
          <w:ilvl w:val="0"/>
          <w:numId w:val="2"/>
        </w:numPr>
        <w:spacing w:after="80"/>
      </w:pPr>
      <w:r>
        <w:rPr>
          <w:b/>
          <w:bCs/>
        </w:rPr>
        <w:t xml:space="preserve">Backup scope: </w:t>
      </w:r>
      <w:r>
        <w:t xml:space="preserve">Confirm the HomePath$ share is included in the file server's backup job — home folder loss without a backup means full loss of user file storage.</w:t>
      </w:r>
    </w:p>
    <w:p>
      <w:pPr>
        <w:pStyle w:val="Heading1"/>
        <w:spacing w:after="140" w:before="280"/>
      </w:pPr>
      <w:r>
        <w:t xml:space="preserve">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200"/>
      </w:tblGrid>
      <w:tr>
        <w:trPr>
          <w:tblHeader/>
        </w:trPr>
        <w:tc>
          <w:tcPr>
            <w:tcW w:type="dxa" w:w="1600"/>
            <w:shd w:fill="1F3864" w:val="clear"/>
            <w:tcMar>
              <w:top w:type="dxa" w:w="80"/>
              <w:left w:type="dxa" w:w="120"/>
              <w:bottom w:type="dxa" w:w="80"/>
              <w:right w:type="dxa" w:w="120"/>
            </w:tcMar>
          </w:tcPr>
          <w:p>
            <w:r>
              <w:rPr>
                <w:b/>
                <w:bCs/>
                <w:color w:val="FFFFFF"/>
                <w:sz w:val="20"/>
                <w:szCs w:val="20"/>
              </w:rPr>
              <w:t xml:space="preserve">Version</w:t>
            </w:r>
          </w:p>
        </w:tc>
        <w:tc>
          <w:tcPr>
            <w:tcW w:type="dxa" w:w="2200"/>
            <w:shd w:fill="1F3864" w:val="clear"/>
            <w:tcMar>
              <w:top w:type="dxa" w:w="80"/>
              <w:left w:type="dxa" w:w="120"/>
              <w:bottom w:type="dxa" w:w="80"/>
              <w:right w:type="dxa" w:w="120"/>
            </w:tcMar>
          </w:tcPr>
          <w:p>
            <w:r>
              <w:rPr>
                <w:b/>
                <w:bCs/>
                <w:color w:val="FFFFFF"/>
                <w:sz w:val="20"/>
                <w:szCs w:val="20"/>
              </w:rPr>
              <w:t xml:space="preserve">Date</w:t>
            </w:r>
          </w:p>
        </w:tc>
        <w:tc>
          <w:tcPr>
            <w:tcW w:type="dxa" w:w="5200"/>
            <w:shd w:fill="1F3864" w:val="clear"/>
            <w:tcMar>
              <w:top w:type="dxa" w:w="80"/>
              <w:left w:type="dxa" w:w="120"/>
              <w:bottom w:type="dxa" w:w="80"/>
              <w:right w:type="dxa" w:w="120"/>
            </w:tcMar>
          </w:tcPr>
          <w:p>
            <w:r>
              <w:rPr>
                <w:b/>
                <w:bCs/>
                <w:color w:val="FFFFFF"/>
                <w:sz w:val="20"/>
                <w:szCs w:val="20"/>
              </w:rPr>
              <w:t xml:space="preserve">Change</w:t>
            </w:r>
          </w:p>
        </w:tc>
      </w:tr>
      <w:tr>
        <w:tc>
          <w:tcPr>
            <w:tcW w:type="dxa" w:w="1600"/>
            <w:tcMar>
              <w:top w:type="dxa" w:w="80"/>
              <w:left w:type="dxa" w:w="120"/>
              <w:bottom w:type="dxa" w:w="80"/>
              <w:right w:type="dxa" w:w="120"/>
            </w:tcMar>
          </w:tcPr>
          <w:p>
            <w:r>
              <w:rPr>
                <w:b w:val="false"/>
                <w:bCs w:val="false"/>
                <w:color w:val="000000"/>
                <w:sz w:val="20"/>
                <w:szCs w:val="20"/>
              </w:rPr>
              <w:t xml:space="preserve">1.0</w:t>
            </w:r>
          </w:p>
        </w:tc>
        <w:tc>
          <w:tcPr>
            <w:tcW w:type="dxa" w:w="2200"/>
            <w:tcMar>
              <w:top w:type="dxa" w:w="80"/>
              <w:left w:type="dxa" w:w="120"/>
              <w:bottom w:type="dxa" w:w="80"/>
              <w:right w:type="dxa" w:w="120"/>
            </w:tcMar>
          </w:tcPr>
          <w:p>
            <w:r>
              <w:rPr>
                <w:b w:val="false"/>
                <w:bCs w:val="false"/>
                <w:color w:val="000000"/>
                <w:sz w:val="20"/>
                <w:szCs w:val="20"/>
              </w:rPr>
              <w:t xml:space="preserve">2026-09-02</w:t>
            </w:r>
          </w:p>
        </w:tc>
        <w:tc>
          <w:tcPr>
            <w:tcW w:type="dxa" w:w="5200"/>
            <w:tcMar>
              <w:top w:type="dxa" w:w="80"/>
              <w:left w:type="dxa" w:w="120"/>
              <w:bottom w:type="dxa" w:w="80"/>
              <w:right w:type="dxa" w:w="120"/>
            </w:tcMar>
          </w:tcPr>
          <w:p>
            <w:r>
              <w:rPr>
                <w:b w:val="false"/>
                <w:bCs w:val="false"/>
                <w:color w:val="000000"/>
                <w:sz w:val="20"/>
                <w:szCs w:val="20"/>
              </w:rPr>
              <w:t xml:space="preserve">Initial SOP created from lab-tested configuration (SERVERLAB environment).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TelecConnect IT — Systems Documentation</w:t>
    </w:r>
    <w:r>
      <w:rPr>
        <w:color w:val="808080"/>
        <w:sz w:val="16"/>
        <w:szCs w:val="16"/>
      </w:rPr>
      <w:t xml:space="preserve">	AD-SOP-005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2026-09-02T07:04:14.984Z</dcterms:created>
  <dcterms:modified xsi:type="dcterms:W3CDTF">2026-09-02T07:04:14.984Z</dcterms:modified>
</cp:coreProperties>
</file>

<file path=docProps/custom.xml><?xml version="1.0" encoding="utf-8"?>
<Properties xmlns="http://schemas.openxmlformats.org/officeDocument/2006/custom-properties" xmlns:vt="http://schemas.openxmlformats.org/officeDocument/2006/docPropsVTypes"/>
</file>