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DAE1B" w14:textId="77777777" w:rsidR="00E80AE7" w:rsidRPr="00851D8E" w:rsidRDefault="00E80AE7" w:rsidP="00E80AE7">
      <w:pPr>
        <w:spacing w:after="0"/>
        <w:ind w:left="720" w:hanging="720"/>
        <w:jc w:val="center"/>
        <w:outlineLvl w:val="0"/>
        <w:rPr>
          <w:rFonts w:ascii="Gotham Book" w:hAnsi="Gotham Book"/>
          <w:b/>
          <w:color w:val="000000" w:themeColor="text1"/>
          <w:sz w:val="20"/>
        </w:rPr>
      </w:pPr>
      <w:r w:rsidRPr="00851D8E">
        <w:rPr>
          <w:rFonts w:ascii="Gotham Book" w:hAnsi="Gotham Book"/>
          <w:b/>
          <w:color w:val="000000" w:themeColor="text1"/>
          <w:sz w:val="20"/>
        </w:rPr>
        <w:t>RECUADRO X</w:t>
      </w:r>
    </w:p>
    <w:p w14:paraId="21FFB17D" w14:textId="24337226" w:rsidR="008F26E6" w:rsidRPr="00E80AE7" w:rsidRDefault="008C4B04" w:rsidP="00E80AE7">
      <w:pPr>
        <w:rPr>
          <w:rFonts w:ascii="Gotham Book" w:hAnsi="Gotham Book"/>
          <w:b/>
          <w:bCs/>
          <w:sz w:val="20"/>
          <w:szCs w:val="20"/>
        </w:rPr>
      </w:pPr>
      <w:r w:rsidRPr="00E80AE7">
        <w:rPr>
          <w:rFonts w:ascii="Gotham Book" w:hAnsi="Gotham Book"/>
          <w:b/>
          <w:bCs/>
          <w:sz w:val="20"/>
          <w:szCs w:val="20"/>
        </w:rPr>
        <w:t>Las expectativas de inflación: Impacto de desviaciones y choques monetarios</w:t>
      </w:r>
      <w:r w:rsidR="00816068" w:rsidRPr="00E80AE7">
        <w:rPr>
          <w:rStyle w:val="FootnoteReference"/>
          <w:rFonts w:ascii="Gotham Book" w:hAnsi="Gotham Book"/>
          <w:b/>
          <w:bCs/>
          <w:color w:val="0D0D0D" w:themeColor="text1" w:themeTint="F2"/>
          <w:sz w:val="20"/>
          <w:szCs w:val="20"/>
        </w:rPr>
        <w:footnoteReference w:id="1"/>
      </w:r>
      <w:r w:rsidRPr="00E80AE7">
        <w:rPr>
          <w:rFonts w:ascii="Gotham Book" w:hAnsi="Gotham Book"/>
          <w:b/>
          <w:bCs/>
          <w:sz w:val="20"/>
          <w:szCs w:val="20"/>
        </w:rPr>
        <w:t xml:space="preserve">. </w:t>
      </w:r>
    </w:p>
    <w:p w14:paraId="1F6FCD53" w14:textId="7C0D07F0" w:rsidR="008C4B04" w:rsidRPr="00816068" w:rsidRDefault="008C4B04" w:rsidP="008C4B04">
      <w:pPr>
        <w:jc w:val="both"/>
        <w:rPr>
          <w:rFonts w:ascii="Gotham Book" w:hAnsi="Gotham Book"/>
          <w:sz w:val="18"/>
          <w:szCs w:val="18"/>
        </w:rPr>
      </w:pPr>
      <w:r w:rsidRPr="00816068">
        <w:rPr>
          <w:rFonts w:ascii="Gotham Book" w:hAnsi="Gotham Book"/>
          <w:sz w:val="18"/>
          <w:szCs w:val="18"/>
        </w:rPr>
        <w:t>El seguimiento y análisis de las expectativas de inflación representa uno de los pilares fundamentales para la conducción efectiva de la política monetaria contemporánea. Est</w:t>
      </w:r>
      <w:r w:rsidR="000E2D55" w:rsidRPr="00816068">
        <w:rPr>
          <w:rFonts w:ascii="Gotham Book" w:hAnsi="Gotham Book"/>
          <w:sz w:val="18"/>
          <w:szCs w:val="18"/>
        </w:rPr>
        <w:t>e</w:t>
      </w:r>
      <w:r w:rsidRPr="00816068">
        <w:rPr>
          <w:rFonts w:ascii="Gotham Book" w:hAnsi="Gotham Book"/>
          <w:sz w:val="18"/>
          <w:szCs w:val="18"/>
        </w:rPr>
        <w:t xml:space="preserve"> </w:t>
      </w:r>
      <w:r w:rsidR="000E2D55" w:rsidRPr="00816068">
        <w:rPr>
          <w:rFonts w:ascii="Gotham Book" w:hAnsi="Gotham Book"/>
          <w:sz w:val="18"/>
          <w:szCs w:val="18"/>
        </w:rPr>
        <w:t>recuadro</w:t>
      </w:r>
      <w:r w:rsidRPr="00816068">
        <w:rPr>
          <w:rFonts w:ascii="Gotham Book" w:hAnsi="Gotham Book"/>
          <w:sz w:val="18"/>
          <w:szCs w:val="18"/>
        </w:rPr>
        <w:t xml:space="preserve"> examina cómo distintos agentes económicos forman sus expectativas inflacionarias y cómo estas responden a las desviaciones de la meta del banco central, ofreciendo hallazgos valiosos para el diseño de estrategias monetarias más eficaces.</w:t>
      </w:r>
    </w:p>
    <w:p w14:paraId="469878BD" w14:textId="51B882D2" w:rsidR="008C4B04" w:rsidRPr="00816068" w:rsidRDefault="008C4B04" w:rsidP="008C4B04">
      <w:pPr>
        <w:jc w:val="both"/>
        <w:rPr>
          <w:rFonts w:ascii="Gotham Book" w:hAnsi="Gotham Book"/>
          <w:sz w:val="18"/>
          <w:szCs w:val="18"/>
        </w:rPr>
      </w:pPr>
      <w:r w:rsidRPr="00816068">
        <w:rPr>
          <w:rFonts w:ascii="Gotham Book" w:hAnsi="Gotham Book"/>
          <w:sz w:val="18"/>
          <w:szCs w:val="18"/>
        </w:rPr>
        <w:t>El Banco Central de la República Dominicana (BCRD) recoge las expectativas de inflación en la Encuesta de Expectativas Macroeconómicas</w:t>
      </w:r>
      <w:r w:rsidR="00B9708E" w:rsidRPr="00816068">
        <w:rPr>
          <w:rFonts w:ascii="Gotham Book" w:hAnsi="Gotham Book"/>
          <w:sz w:val="18"/>
          <w:szCs w:val="18"/>
        </w:rPr>
        <w:t xml:space="preserve"> (EEM)</w:t>
      </w:r>
      <w:r w:rsidRPr="00816068">
        <w:rPr>
          <w:rFonts w:ascii="Gotham Book" w:hAnsi="Gotham Book"/>
          <w:sz w:val="18"/>
          <w:szCs w:val="18"/>
        </w:rPr>
        <w:t xml:space="preserve"> desde junio del 2009, dirigida </w:t>
      </w:r>
      <w:r w:rsidR="000E2D55" w:rsidRPr="00816068">
        <w:rPr>
          <w:rFonts w:ascii="Gotham Book" w:hAnsi="Gotham Book"/>
          <w:sz w:val="18"/>
          <w:szCs w:val="18"/>
        </w:rPr>
        <w:t>estrictamente</w:t>
      </w:r>
      <w:r w:rsidRPr="00816068">
        <w:rPr>
          <w:rFonts w:ascii="Gotham Book" w:hAnsi="Gotham Book"/>
          <w:sz w:val="18"/>
          <w:szCs w:val="18"/>
        </w:rPr>
        <w:t xml:space="preserve"> a los analistas del sector privado. Estos analistas están desagregado</w:t>
      </w:r>
      <w:r w:rsidR="000E2D55" w:rsidRPr="00816068">
        <w:rPr>
          <w:rFonts w:ascii="Gotham Book" w:hAnsi="Gotham Book"/>
          <w:sz w:val="18"/>
          <w:szCs w:val="18"/>
        </w:rPr>
        <w:t>s</w:t>
      </w:r>
      <w:r w:rsidRPr="00816068">
        <w:rPr>
          <w:rFonts w:ascii="Gotham Book" w:hAnsi="Gotham Book"/>
          <w:sz w:val="18"/>
          <w:szCs w:val="18"/>
        </w:rPr>
        <w:t xml:space="preserve"> en </w:t>
      </w:r>
      <w:r w:rsidR="000E2D55" w:rsidRPr="00816068">
        <w:rPr>
          <w:rFonts w:ascii="Gotham Book" w:hAnsi="Gotham Book"/>
          <w:sz w:val="18"/>
          <w:szCs w:val="18"/>
        </w:rPr>
        <w:t>cuatros</w:t>
      </w:r>
      <w:r w:rsidRPr="00816068">
        <w:rPr>
          <w:rFonts w:ascii="Gotham Book" w:hAnsi="Gotham Book"/>
          <w:sz w:val="18"/>
          <w:szCs w:val="18"/>
        </w:rPr>
        <w:t xml:space="preserve"> grupos:</w:t>
      </w:r>
      <w:r w:rsidR="000E2D55" w:rsidRPr="00816068">
        <w:rPr>
          <w:rFonts w:ascii="Gotham Book" w:hAnsi="Gotham Book"/>
          <w:sz w:val="18"/>
          <w:szCs w:val="18"/>
        </w:rPr>
        <w:t xml:space="preserve"> Bancos, Organismos Multilaterales, Consultores y Otros</w:t>
      </w:r>
      <w:r w:rsidR="000E2D55" w:rsidRPr="00816068">
        <w:rPr>
          <w:rStyle w:val="FootnoteReference"/>
          <w:rFonts w:ascii="Gotham Book" w:hAnsi="Gotham Book"/>
          <w:sz w:val="18"/>
          <w:szCs w:val="18"/>
        </w:rPr>
        <w:footnoteReference w:id="2"/>
      </w:r>
      <w:r w:rsidR="000E2D55" w:rsidRPr="00816068">
        <w:rPr>
          <w:rFonts w:ascii="Gotham Book" w:hAnsi="Gotham Book"/>
          <w:sz w:val="18"/>
          <w:szCs w:val="18"/>
        </w:rPr>
        <w:t>.</w:t>
      </w:r>
      <w:r w:rsidRPr="00816068">
        <w:rPr>
          <w:rFonts w:ascii="Gotham Book" w:hAnsi="Gotham Book"/>
          <w:sz w:val="18"/>
          <w:szCs w:val="18"/>
        </w:rPr>
        <w:t xml:space="preserve"> </w:t>
      </w:r>
    </w:p>
    <w:p w14:paraId="6B42CB99" w14:textId="64B93364" w:rsidR="008C4B04" w:rsidRPr="00816068" w:rsidRDefault="00023B16" w:rsidP="00B9708E">
      <w:pPr>
        <w:jc w:val="both"/>
        <w:rPr>
          <w:rFonts w:ascii="Gotham Book" w:hAnsi="Gotham Book"/>
          <w:sz w:val="18"/>
          <w:szCs w:val="18"/>
        </w:rPr>
      </w:pPr>
      <w:r w:rsidRPr="00816068">
        <w:rPr>
          <w:rFonts w:ascii="Gotham Book" w:hAnsi="Gotham Book"/>
          <w:sz w:val="18"/>
          <w:szCs w:val="18"/>
        </w:rPr>
        <w:t xml:space="preserve">El primer análisis modela el comportamiento de las expectativas de inflación, recogiendo </w:t>
      </w:r>
      <w:r w:rsidR="00B9708E" w:rsidRPr="00816068">
        <w:rPr>
          <w:rFonts w:ascii="Gotham Book" w:hAnsi="Gotham Book"/>
          <w:sz w:val="18"/>
          <w:szCs w:val="18"/>
        </w:rPr>
        <w:t xml:space="preserve">su efecto antes </w:t>
      </w:r>
      <w:r w:rsidRPr="00816068">
        <w:rPr>
          <w:rFonts w:ascii="Gotham Book" w:hAnsi="Gotham Book"/>
          <w:sz w:val="18"/>
          <w:szCs w:val="18"/>
        </w:rPr>
        <w:t xml:space="preserve">las deviaciones </w:t>
      </w:r>
      <w:r w:rsidR="00B9708E" w:rsidRPr="00816068">
        <w:rPr>
          <w:rFonts w:ascii="Gotham Book" w:hAnsi="Gotham Book"/>
          <w:sz w:val="18"/>
          <w:szCs w:val="18"/>
        </w:rPr>
        <w:t xml:space="preserve">de la inflación observada </w:t>
      </w:r>
      <w:r w:rsidRPr="00816068">
        <w:rPr>
          <w:rFonts w:ascii="Gotham Book" w:hAnsi="Gotham Book"/>
          <w:sz w:val="18"/>
          <w:szCs w:val="18"/>
        </w:rPr>
        <w:t>respecto a la meta</w:t>
      </w:r>
      <w:r w:rsidR="00B9708E" w:rsidRPr="00816068">
        <w:rPr>
          <w:rFonts w:ascii="Gotham Book" w:hAnsi="Gotham Book"/>
          <w:sz w:val="18"/>
          <w:szCs w:val="18"/>
        </w:rPr>
        <w:t>. S</w:t>
      </w:r>
      <w:r w:rsidRPr="00816068">
        <w:rPr>
          <w:rFonts w:ascii="Gotham Book" w:hAnsi="Gotham Book"/>
          <w:sz w:val="18"/>
          <w:szCs w:val="18"/>
        </w:rPr>
        <w:t>e estimó un modelo por MCO</w:t>
      </w:r>
      <w:r w:rsidRPr="00816068">
        <w:rPr>
          <w:rStyle w:val="FootnoteReference"/>
          <w:rFonts w:ascii="Gotham Book" w:hAnsi="Gotham Book"/>
          <w:sz w:val="18"/>
          <w:szCs w:val="18"/>
        </w:rPr>
        <w:footnoteReference w:id="3"/>
      </w:r>
      <w:r w:rsidR="004D4BFD">
        <w:rPr>
          <w:rFonts w:ascii="Gotham Book" w:hAnsi="Gotham Book"/>
          <w:sz w:val="18"/>
          <w:szCs w:val="18"/>
        </w:rPr>
        <w:t>, con la siguiente expresión</w:t>
      </w:r>
      <w:r w:rsidR="00B9708E" w:rsidRPr="00816068">
        <w:rPr>
          <w:rFonts w:ascii="Gotham Book" w:hAnsi="Gotham Book"/>
          <w:sz w:val="18"/>
          <w:szCs w:val="18"/>
        </w:rPr>
        <w:t>:</w:t>
      </w:r>
    </w:p>
    <w:p w14:paraId="7C8993E8" w14:textId="77777777" w:rsidR="008C4B04" w:rsidRPr="00816068" w:rsidRDefault="008C4B04" w:rsidP="008C4B04">
      <w:pPr>
        <w:rPr>
          <w:rFonts w:ascii="Gotham Book" w:eastAsiaTheme="minorEastAsia" w:hAnsi="Gotham Book"/>
          <w:sz w:val="18"/>
          <w:szCs w:val="18"/>
        </w:rPr>
      </w:pPr>
      <m:oMathPara>
        <m:oMath>
          <m:r>
            <w:rPr>
              <w:rFonts w:ascii="Cambria Math" w:eastAsiaTheme="minorEastAsia" w:hAnsi="Cambria Math"/>
              <w:sz w:val="18"/>
              <w:szCs w:val="18"/>
            </w:rPr>
            <m:t>exp</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cs="Arial"/>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de</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pos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de</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neg</m:t>
              </m:r>
            </m:sub>
          </m:sSub>
          <m:r>
            <w:rPr>
              <w:rFonts w:ascii="Cambria Math" w:hAnsi="Cambria Math"/>
              <w:sz w:val="18"/>
              <w:szCs w:val="18"/>
            </w:rPr>
            <m:t>+ε</m:t>
          </m:r>
        </m:oMath>
      </m:oMathPara>
    </w:p>
    <w:p w14:paraId="5B09B91D" w14:textId="35C22945" w:rsidR="008C4B04" w:rsidRPr="00816068" w:rsidRDefault="00B9708E" w:rsidP="008C4B04">
      <w:pPr>
        <w:jc w:val="both"/>
        <w:rPr>
          <w:rFonts w:ascii="Gotham Book" w:eastAsiaTheme="minorEastAsia" w:hAnsi="Gotham Book"/>
          <w:sz w:val="18"/>
          <w:szCs w:val="18"/>
        </w:rPr>
      </w:pPr>
      <w:r w:rsidRPr="00816068">
        <w:rPr>
          <w:rFonts w:ascii="Gotham Book" w:hAnsi="Gotham Book"/>
          <w:sz w:val="18"/>
          <w:szCs w:val="18"/>
        </w:rPr>
        <w:t xml:space="preserve">Donde </w:t>
      </w:r>
      <m:oMath>
        <m:r>
          <w:rPr>
            <w:rFonts w:ascii="Cambria Math" w:eastAsiaTheme="minorEastAsia" w:hAnsi="Cambria Math"/>
            <w:sz w:val="18"/>
            <w:szCs w:val="18"/>
          </w:rPr>
          <m:t>exp</m:t>
        </m:r>
      </m:oMath>
      <w:r w:rsidRPr="00816068">
        <w:rPr>
          <w:rFonts w:ascii="Gotham Book" w:eastAsiaTheme="minorEastAsia" w:hAnsi="Gotham Book"/>
          <w:sz w:val="18"/>
          <w:szCs w:val="18"/>
        </w:rPr>
        <w:t xml:space="preserve"> corresponde al promedio de las expectativas de inflación a 12 meses, </w:t>
      </w:r>
      <m:oMath>
        <m:r>
          <w:rPr>
            <w:rFonts w:ascii="Cambria Math" w:hAnsi="Cambria Math"/>
            <w:sz w:val="18"/>
            <w:szCs w:val="18"/>
          </w:rPr>
          <m:t>de</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pos</m:t>
            </m:r>
          </m:sub>
        </m:sSub>
      </m:oMath>
      <w:r w:rsidRPr="00816068">
        <w:rPr>
          <w:rFonts w:ascii="Gotham Book" w:eastAsiaTheme="minorEastAsia" w:hAnsi="Gotham Book"/>
          <w:sz w:val="18"/>
          <w:szCs w:val="18"/>
        </w:rPr>
        <w:t xml:space="preserve"> y </w:t>
      </w:r>
      <m:oMath>
        <m:r>
          <w:rPr>
            <w:rFonts w:ascii="Cambria Math" w:hAnsi="Cambria Math"/>
            <w:sz w:val="18"/>
            <w:szCs w:val="18"/>
          </w:rPr>
          <m:t>de</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neg</m:t>
            </m:r>
          </m:sub>
        </m:sSub>
      </m:oMath>
      <w:r w:rsidRPr="00816068">
        <w:rPr>
          <w:rFonts w:ascii="Gotham Book" w:eastAsiaTheme="minorEastAsia" w:hAnsi="Gotham Book"/>
          <w:sz w:val="18"/>
          <w:szCs w:val="18"/>
        </w:rPr>
        <w:t xml:space="preserve"> representan las desviaciones positivas y negativas de la inflación observada</w:t>
      </w:r>
      <w:r w:rsidR="00AC068A" w:rsidRPr="00816068">
        <w:rPr>
          <w:rFonts w:ascii="Gotham Book" w:eastAsiaTheme="minorEastAsia" w:hAnsi="Gotham Book"/>
          <w:sz w:val="18"/>
          <w:szCs w:val="18"/>
        </w:rPr>
        <w:t xml:space="preserve"> </w:t>
      </w:r>
      <w:r w:rsidR="00A86D5C">
        <w:rPr>
          <w:rFonts w:ascii="Gotham Book" w:eastAsiaTheme="minorEastAsia" w:hAnsi="Gotham Book"/>
          <w:sz w:val="18"/>
          <w:szCs w:val="18"/>
        </w:rPr>
        <w:t>(</w:t>
      </w:r>
      <m:oMath>
        <m:r>
          <w:rPr>
            <w:rFonts w:ascii="Cambria Math" w:eastAsiaTheme="minorEastAsia" w:hAnsi="Cambria Math"/>
            <w:sz w:val="18"/>
            <w:szCs w:val="18"/>
          </w:rPr>
          <m:t>π</m:t>
        </m:r>
      </m:oMath>
      <w:r w:rsidR="00A86D5C">
        <w:rPr>
          <w:rFonts w:ascii="Gotham Book" w:eastAsiaTheme="minorEastAsia" w:hAnsi="Gotham Book"/>
          <w:sz w:val="18"/>
          <w:szCs w:val="18"/>
        </w:rPr>
        <w:t>)</w:t>
      </w:r>
      <w:r w:rsidRPr="00816068">
        <w:rPr>
          <w:rFonts w:ascii="Gotham Book" w:eastAsiaTheme="minorEastAsia" w:hAnsi="Gotham Book"/>
          <w:sz w:val="18"/>
          <w:szCs w:val="18"/>
        </w:rPr>
        <w:t xml:space="preserve"> respecto al centro del rango meta</w:t>
      </w:r>
      <w:r w:rsidR="00AC068A" w:rsidRPr="00816068">
        <w:rPr>
          <w:rFonts w:ascii="Gotham Book" w:eastAsiaTheme="minorEastAsia" w:hAnsi="Gotham Book"/>
          <w:sz w:val="18"/>
          <w:szCs w:val="18"/>
        </w:rPr>
        <w:t xml:space="preserve"> </w:t>
      </w:r>
      <w:r w:rsidR="00A86D5C">
        <w:rPr>
          <w:rFonts w:ascii="Gotham Book" w:eastAsiaTheme="minorEastAsia" w:hAnsi="Gotham Book"/>
          <w:sz w:val="18"/>
          <w:szCs w:val="18"/>
        </w:rPr>
        <w:t>(</w:t>
      </w:r>
      <m:oMath>
        <m:sSup>
          <m:sSupPr>
            <m:ctrlPr>
              <w:rPr>
                <w:rFonts w:ascii="Cambria Math" w:eastAsiaTheme="minorEastAsia" w:hAnsi="Cambria Math"/>
                <w:i/>
                <w:sz w:val="18"/>
                <w:szCs w:val="18"/>
              </w:rPr>
            </m:ctrlPr>
          </m:sSupPr>
          <m:e>
            <m:r>
              <w:rPr>
                <w:rFonts w:ascii="Cambria Math" w:eastAsiaTheme="minorEastAsia" w:hAnsi="Cambria Math"/>
                <w:sz w:val="18"/>
                <w:szCs w:val="18"/>
              </w:rPr>
              <m:t>π</m:t>
            </m:r>
          </m:e>
          <m:sup>
            <m:r>
              <w:rPr>
                <w:rFonts w:ascii="Cambria Math" w:eastAsiaTheme="minorEastAsia" w:hAnsi="Cambria Math"/>
                <w:sz w:val="18"/>
                <w:szCs w:val="18"/>
              </w:rPr>
              <m:t>*</m:t>
            </m:r>
          </m:sup>
        </m:sSup>
      </m:oMath>
      <w:r w:rsidR="00A86D5C">
        <w:rPr>
          <w:rFonts w:ascii="Gotham Book" w:eastAsiaTheme="minorEastAsia" w:hAnsi="Gotham Book"/>
          <w:sz w:val="18"/>
          <w:szCs w:val="18"/>
        </w:rPr>
        <w:t>)</w:t>
      </w:r>
      <w:r w:rsidRPr="00816068">
        <w:rPr>
          <w:rFonts w:ascii="Gotham Book" w:eastAsiaTheme="minorEastAsia" w:hAnsi="Gotham Book"/>
          <w:sz w:val="18"/>
          <w:szCs w:val="18"/>
        </w:rPr>
        <w:t xml:space="preserve"> del BCRD (4 %), respectivamente.</w:t>
      </w:r>
      <w:r w:rsidR="00AC068A" w:rsidRPr="00816068">
        <w:rPr>
          <w:rFonts w:ascii="Gotham Book" w:eastAsiaTheme="minorEastAsia" w:hAnsi="Gotham Book"/>
          <w:sz w:val="18"/>
          <w:szCs w:val="18"/>
        </w:rPr>
        <w:t xml:space="preserve"> </w:t>
      </w:r>
      <w:r w:rsidR="004D4BFD">
        <w:rPr>
          <w:rFonts w:ascii="Gotham Book" w:eastAsiaTheme="minorEastAsia" w:hAnsi="Gotham Book"/>
          <w:sz w:val="18"/>
          <w:szCs w:val="18"/>
        </w:rPr>
        <w:t xml:space="preserve">Para las desviaciones </w:t>
      </w:r>
      <w:r w:rsidR="004D4BFD" w:rsidRPr="00816068">
        <w:rPr>
          <w:rFonts w:ascii="Gotham Book" w:eastAsiaTheme="minorEastAsia" w:hAnsi="Gotham Book"/>
          <w:sz w:val="18"/>
          <w:szCs w:val="18"/>
        </w:rPr>
        <w:t>respecto a la meta</w:t>
      </w:r>
      <w:r w:rsidR="004D4BFD">
        <w:rPr>
          <w:rFonts w:ascii="Gotham Book" w:eastAsiaTheme="minorEastAsia" w:hAnsi="Gotham Book"/>
          <w:sz w:val="18"/>
          <w:szCs w:val="18"/>
        </w:rPr>
        <w:t xml:space="preserve"> tenemos estos </w:t>
      </w:r>
      <w:r w:rsidRPr="00816068">
        <w:rPr>
          <w:rFonts w:ascii="Gotham Book" w:eastAsiaTheme="minorEastAsia" w:hAnsi="Gotham Book"/>
          <w:sz w:val="18"/>
          <w:szCs w:val="18"/>
        </w:rPr>
        <w:t>tres escenarios posibles</w:t>
      </w:r>
      <w:r w:rsidR="00AC068A" w:rsidRPr="00816068">
        <w:rPr>
          <w:rFonts w:ascii="Gotham Book" w:eastAsiaTheme="minorEastAsia" w:hAnsi="Gotham Book"/>
          <w:sz w:val="18"/>
          <w:szCs w:val="18"/>
        </w:rPr>
        <w:t>:</w:t>
      </w:r>
    </w:p>
    <w:p w14:paraId="26272759" w14:textId="098DBEF2" w:rsidR="00AC068A" w:rsidRPr="00816068" w:rsidRDefault="00AC068A" w:rsidP="00AC068A">
      <w:pPr>
        <w:pStyle w:val="ListParagraph"/>
        <w:numPr>
          <w:ilvl w:val="0"/>
          <w:numId w:val="1"/>
        </w:numPr>
        <w:jc w:val="both"/>
        <w:rPr>
          <w:rFonts w:ascii="Gotham Book" w:hAnsi="Gotham Book"/>
          <w:sz w:val="18"/>
          <w:szCs w:val="18"/>
        </w:rPr>
      </w:pPr>
      <w:r w:rsidRPr="00816068">
        <w:rPr>
          <w:rFonts w:ascii="Gotham Book" w:hAnsi="Gotham Book"/>
          <w:sz w:val="18"/>
          <w:szCs w:val="18"/>
        </w:rPr>
        <w:t>Inflación por encima de la meta (</w:t>
      </w:r>
      <m:oMath>
        <m:r>
          <w:rPr>
            <w:rFonts w:ascii="Cambria Math" w:hAnsi="Cambria Math"/>
            <w:sz w:val="18"/>
            <w:szCs w:val="18"/>
          </w:rPr>
          <m:t>π&gt;</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oMath>
      <w:r w:rsidRPr="00816068">
        <w:rPr>
          <w:rFonts w:ascii="Gotham Book" w:hAnsi="Gotham Book"/>
          <w:sz w:val="18"/>
          <w:szCs w:val="18"/>
        </w:rPr>
        <w:t xml:space="preserve">): </w:t>
      </w:r>
      <m:oMath>
        <m:r>
          <w:rPr>
            <w:rFonts w:ascii="Cambria Math" w:hAnsi="Cambria Math"/>
            <w:sz w:val="18"/>
            <w:szCs w:val="18"/>
          </w:rPr>
          <m:t>de</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pos</m:t>
            </m:r>
          </m:sub>
        </m:sSub>
        <m:r>
          <w:rPr>
            <w:rFonts w:ascii="Cambria Math" w:hAnsi="Cambria Math"/>
            <w:sz w:val="18"/>
            <w:szCs w:val="18"/>
          </w:rPr>
          <m:t>=</m:t>
        </m:r>
        <m:r>
          <w:rPr>
            <w:rFonts w:ascii="Cambria Math" w:hAnsi="Cambria Math"/>
            <w:sz w:val="18"/>
            <w:szCs w:val="18"/>
          </w:rPr>
          <m:t>π</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oMath>
      <w:r w:rsidRPr="00816068">
        <w:rPr>
          <w:rFonts w:ascii="Gotham Book" w:eastAsiaTheme="minorEastAsia" w:hAnsi="Gotham Book"/>
          <w:sz w:val="18"/>
          <w:szCs w:val="18"/>
        </w:rPr>
        <w:t xml:space="preserve">  y </w:t>
      </w:r>
      <m:oMath>
        <m:r>
          <w:rPr>
            <w:rFonts w:ascii="Cambria Math" w:eastAsiaTheme="minorEastAsia" w:hAnsi="Cambria Math"/>
            <w:sz w:val="18"/>
            <w:szCs w:val="18"/>
          </w:rPr>
          <m:t>de</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neg</m:t>
            </m:r>
          </m:sub>
        </m:sSub>
        <m:r>
          <w:rPr>
            <w:rFonts w:ascii="Cambria Math" w:eastAsiaTheme="minorEastAsia" w:hAnsi="Cambria Math"/>
            <w:sz w:val="18"/>
            <w:szCs w:val="18"/>
          </w:rPr>
          <m:t>=0</m:t>
        </m:r>
      </m:oMath>
    </w:p>
    <w:p w14:paraId="7EC57715" w14:textId="437B0CE6" w:rsidR="00AC068A" w:rsidRPr="00816068" w:rsidRDefault="00AC068A" w:rsidP="00AC068A">
      <w:pPr>
        <w:pStyle w:val="ListParagraph"/>
        <w:numPr>
          <w:ilvl w:val="0"/>
          <w:numId w:val="1"/>
        </w:numPr>
        <w:jc w:val="both"/>
        <w:rPr>
          <w:rFonts w:ascii="Gotham Book" w:hAnsi="Gotham Book"/>
          <w:sz w:val="18"/>
          <w:szCs w:val="18"/>
        </w:rPr>
      </w:pPr>
      <w:r w:rsidRPr="00816068">
        <w:rPr>
          <w:rFonts w:ascii="Gotham Book" w:hAnsi="Gotham Book"/>
          <w:sz w:val="18"/>
          <w:szCs w:val="18"/>
        </w:rPr>
        <w:t xml:space="preserve">Inflación por </w:t>
      </w:r>
      <w:r w:rsidRPr="00816068">
        <w:rPr>
          <w:rFonts w:ascii="Gotham Book" w:hAnsi="Gotham Book"/>
          <w:sz w:val="18"/>
          <w:szCs w:val="18"/>
        </w:rPr>
        <w:t>debajo</w:t>
      </w:r>
      <w:r w:rsidRPr="00816068">
        <w:rPr>
          <w:rFonts w:ascii="Gotham Book" w:hAnsi="Gotham Book"/>
          <w:sz w:val="18"/>
          <w:szCs w:val="18"/>
        </w:rPr>
        <w:t xml:space="preserve"> de la meta (</w:t>
      </w:r>
      <m:oMath>
        <m:r>
          <w:rPr>
            <w:rFonts w:ascii="Cambria Math" w:hAnsi="Cambria Math"/>
            <w:sz w:val="18"/>
            <w:szCs w:val="18"/>
          </w:rPr>
          <m:t>π</m:t>
        </m:r>
        <m:r>
          <w:rPr>
            <w:rFonts w:ascii="Cambria Math" w:hAnsi="Cambria Math"/>
            <w:sz w:val="18"/>
            <w:szCs w:val="18"/>
          </w:rPr>
          <m:t>&lt;</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oMath>
      <w:r w:rsidRPr="00816068">
        <w:rPr>
          <w:rFonts w:ascii="Gotham Book" w:hAnsi="Gotham Book"/>
          <w:sz w:val="18"/>
          <w:szCs w:val="18"/>
        </w:rPr>
        <w:t xml:space="preserve">): </w:t>
      </w:r>
      <m:oMath>
        <m:r>
          <w:rPr>
            <w:rFonts w:ascii="Cambria Math" w:hAnsi="Cambria Math"/>
            <w:sz w:val="18"/>
            <w:szCs w:val="18"/>
          </w:rPr>
          <m:t>de</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pos</m:t>
            </m:r>
          </m:sub>
        </m:sSub>
        <m:r>
          <w:rPr>
            <w:rFonts w:ascii="Cambria Math" w:hAnsi="Cambria Math"/>
            <w:sz w:val="18"/>
            <w:szCs w:val="18"/>
          </w:rPr>
          <m:t>=</m:t>
        </m:r>
        <m:r>
          <w:rPr>
            <w:rFonts w:ascii="Cambria Math" w:hAnsi="Cambria Math"/>
            <w:sz w:val="18"/>
            <w:szCs w:val="18"/>
          </w:rPr>
          <m:t>0</m:t>
        </m:r>
      </m:oMath>
      <w:r w:rsidRPr="00816068">
        <w:rPr>
          <w:rFonts w:ascii="Gotham Book" w:eastAsiaTheme="minorEastAsia" w:hAnsi="Gotham Book"/>
          <w:sz w:val="18"/>
          <w:szCs w:val="18"/>
        </w:rPr>
        <w:t xml:space="preserve">  y </w:t>
      </w:r>
      <m:oMath>
        <m:r>
          <w:rPr>
            <w:rFonts w:ascii="Cambria Math" w:eastAsiaTheme="minorEastAsia" w:hAnsi="Cambria Math"/>
            <w:sz w:val="18"/>
            <w:szCs w:val="18"/>
          </w:rPr>
          <m:t>de</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neg</m:t>
            </m:r>
          </m:sub>
        </m:sSub>
        <m:r>
          <w:rPr>
            <w:rFonts w:ascii="Cambria Math" w:eastAsiaTheme="minorEastAsia" w:hAnsi="Cambria Math"/>
            <w:sz w:val="18"/>
            <w:szCs w:val="18"/>
          </w:rPr>
          <m:t>=</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r>
          <w:rPr>
            <w:rFonts w:ascii="Cambria Math" w:hAnsi="Cambria Math"/>
            <w:sz w:val="18"/>
            <w:szCs w:val="18"/>
          </w:rPr>
          <m:t>-</m:t>
        </m:r>
        <m:r>
          <w:rPr>
            <w:rFonts w:ascii="Cambria Math" w:hAnsi="Cambria Math"/>
            <w:sz w:val="18"/>
            <w:szCs w:val="18"/>
          </w:rPr>
          <m:t>π</m:t>
        </m:r>
      </m:oMath>
    </w:p>
    <w:p w14:paraId="6E021D2C" w14:textId="464C537B" w:rsidR="00AC068A" w:rsidRPr="00816068" w:rsidRDefault="00AC068A" w:rsidP="00AC068A">
      <w:pPr>
        <w:pStyle w:val="ListParagraph"/>
        <w:numPr>
          <w:ilvl w:val="0"/>
          <w:numId w:val="1"/>
        </w:numPr>
        <w:jc w:val="both"/>
        <w:rPr>
          <w:rFonts w:ascii="Gotham Book" w:hAnsi="Gotham Book"/>
          <w:sz w:val="18"/>
          <w:szCs w:val="18"/>
        </w:rPr>
      </w:pPr>
      <w:r w:rsidRPr="00816068">
        <w:rPr>
          <w:rFonts w:ascii="Gotham Book" w:hAnsi="Gotham Book"/>
          <w:sz w:val="18"/>
          <w:szCs w:val="18"/>
        </w:rPr>
        <w:t xml:space="preserve">Inflación </w:t>
      </w:r>
      <w:r w:rsidRPr="00816068">
        <w:rPr>
          <w:rFonts w:ascii="Gotham Book" w:hAnsi="Gotham Book"/>
          <w:sz w:val="18"/>
          <w:szCs w:val="18"/>
        </w:rPr>
        <w:t>igual</w:t>
      </w:r>
      <w:r w:rsidRPr="00816068">
        <w:rPr>
          <w:rFonts w:ascii="Gotham Book" w:hAnsi="Gotham Book"/>
          <w:sz w:val="18"/>
          <w:szCs w:val="18"/>
        </w:rPr>
        <w:t xml:space="preserve"> </w:t>
      </w:r>
      <w:r w:rsidRPr="00816068">
        <w:rPr>
          <w:rFonts w:ascii="Gotham Book" w:hAnsi="Gotham Book"/>
          <w:sz w:val="18"/>
          <w:szCs w:val="18"/>
        </w:rPr>
        <w:t xml:space="preserve">a </w:t>
      </w:r>
      <w:r w:rsidRPr="00816068">
        <w:rPr>
          <w:rFonts w:ascii="Gotham Book" w:hAnsi="Gotham Book"/>
          <w:sz w:val="18"/>
          <w:szCs w:val="18"/>
        </w:rPr>
        <w:t>la meta (</w:t>
      </w:r>
      <m:oMath>
        <m:r>
          <w:rPr>
            <w:rFonts w:ascii="Cambria Math" w:hAnsi="Cambria Math"/>
            <w:sz w:val="18"/>
            <w:szCs w:val="18"/>
          </w:rPr>
          <m:t>π</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oMath>
      <w:r w:rsidRPr="00816068">
        <w:rPr>
          <w:rFonts w:ascii="Gotham Book" w:hAnsi="Gotham Book"/>
          <w:sz w:val="18"/>
          <w:szCs w:val="18"/>
        </w:rPr>
        <w:t xml:space="preserve">): </w:t>
      </w:r>
      <m:oMath>
        <m:r>
          <w:rPr>
            <w:rFonts w:ascii="Cambria Math" w:hAnsi="Cambria Math"/>
            <w:sz w:val="18"/>
            <w:szCs w:val="18"/>
          </w:rPr>
          <m:t>de</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pos</m:t>
            </m:r>
          </m:sub>
        </m:sSub>
        <m:r>
          <w:rPr>
            <w:rFonts w:ascii="Cambria Math" w:hAnsi="Cambria Math"/>
            <w:sz w:val="18"/>
            <w:szCs w:val="18"/>
          </w:rPr>
          <m:t>=</m:t>
        </m:r>
        <m:r>
          <w:rPr>
            <w:rFonts w:ascii="Cambria Math" w:hAnsi="Cambria Math"/>
            <w:sz w:val="18"/>
            <w:szCs w:val="18"/>
          </w:rPr>
          <m:t>0</m:t>
        </m:r>
      </m:oMath>
      <w:r w:rsidRPr="00816068">
        <w:rPr>
          <w:rFonts w:ascii="Gotham Book" w:eastAsiaTheme="minorEastAsia" w:hAnsi="Gotham Book"/>
          <w:sz w:val="18"/>
          <w:szCs w:val="18"/>
        </w:rPr>
        <w:t xml:space="preserve">  y </w:t>
      </w:r>
      <m:oMath>
        <m:r>
          <w:rPr>
            <w:rFonts w:ascii="Cambria Math" w:eastAsiaTheme="minorEastAsia" w:hAnsi="Cambria Math"/>
            <w:sz w:val="18"/>
            <w:szCs w:val="18"/>
          </w:rPr>
          <m:t>de</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neg</m:t>
            </m:r>
          </m:sub>
        </m:sSub>
        <m:r>
          <w:rPr>
            <w:rFonts w:ascii="Cambria Math" w:eastAsiaTheme="minorEastAsia" w:hAnsi="Cambria Math"/>
            <w:sz w:val="18"/>
            <w:szCs w:val="18"/>
          </w:rPr>
          <m:t>=0</m:t>
        </m:r>
      </m:oMath>
    </w:p>
    <w:tbl>
      <w:tblPr>
        <w:tblW w:w="6431" w:type="dxa"/>
        <w:jc w:val="center"/>
        <w:tblCellMar>
          <w:left w:w="70" w:type="dxa"/>
          <w:right w:w="70" w:type="dxa"/>
        </w:tblCellMar>
        <w:tblLook w:val="04A0" w:firstRow="1" w:lastRow="0" w:firstColumn="1" w:lastColumn="0" w:noHBand="0" w:noVBand="1"/>
      </w:tblPr>
      <w:tblGrid>
        <w:gridCol w:w="3265"/>
        <w:gridCol w:w="953"/>
        <w:gridCol w:w="995"/>
        <w:gridCol w:w="1218"/>
      </w:tblGrid>
      <w:tr w:rsidR="00592AFE" w:rsidRPr="00592AFE" w14:paraId="2DB99082" w14:textId="77777777" w:rsidTr="004D4BFD">
        <w:trPr>
          <w:trHeight w:val="300"/>
          <w:jc w:val="center"/>
        </w:trPr>
        <w:tc>
          <w:tcPr>
            <w:tcW w:w="3265" w:type="dxa"/>
            <w:vMerge w:val="restart"/>
            <w:tcBorders>
              <w:top w:val="single" w:sz="4" w:space="0" w:color="auto"/>
              <w:left w:val="single" w:sz="4" w:space="0" w:color="auto"/>
              <w:bottom w:val="nil"/>
              <w:right w:val="nil"/>
            </w:tcBorders>
            <w:shd w:val="clear" w:color="auto" w:fill="auto"/>
            <w:vAlign w:val="center"/>
            <w:hideMark/>
          </w:tcPr>
          <w:p w14:paraId="46C4C4BE" w14:textId="77777777" w:rsidR="00592AFE" w:rsidRPr="00592AFE" w:rsidRDefault="00592AFE" w:rsidP="00592AFE">
            <w:pPr>
              <w:spacing w:after="0" w:line="240" w:lineRule="auto"/>
              <w:jc w:val="center"/>
              <w:rPr>
                <w:rFonts w:ascii="Gotham Book" w:eastAsia="Times New Roman" w:hAnsi="Gotham Book" w:cs="Times New Roman"/>
                <w:b/>
                <w:bCs/>
                <w:color w:val="000000"/>
                <w:kern w:val="0"/>
                <w:sz w:val="18"/>
                <w:szCs w:val="18"/>
                <w:lang w:eastAsia="es-DO"/>
                <w14:ligatures w14:val="none"/>
              </w:rPr>
            </w:pPr>
            <w:r w:rsidRPr="00592AFE">
              <w:rPr>
                <w:rFonts w:ascii="Gotham Book" w:eastAsia="Times New Roman" w:hAnsi="Gotham Book" w:cs="Times New Roman"/>
                <w:b/>
                <w:bCs/>
                <w:color w:val="000000"/>
                <w:kern w:val="0"/>
                <w:sz w:val="18"/>
                <w:szCs w:val="18"/>
                <w:lang w:eastAsia="es-DO"/>
                <w14:ligatures w14:val="none"/>
              </w:rPr>
              <w:t>Grupo</w:t>
            </w:r>
          </w:p>
        </w:tc>
        <w:tc>
          <w:tcPr>
            <w:tcW w:w="316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BC8EA9" w14:textId="77777777" w:rsidR="00592AFE" w:rsidRPr="00592AFE" w:rsidRDefault="00592AFE" w:rsidP="00592AFE">
            <w:pPr>
              <w:spacing w:after="0" w:line="240" w:lineRule="auto"/>
              <w:jc w:val="center"/>
              <w:rPr>
                <w:rFonts w:ascii="Gotham Book" w:eastAsia="Times New Roman" w:hAnsi="Gotham Book" w:cs="Times New Roman"/>
                <w:b/>
                <w:bCs/>
                <w:color w:val="000000"/>
                <w:kern w:val="0"/>
                <w:sz w:val="18"/>
                <w:szCs w:val="18"/>
                <w:lang w:eastAsia="es-DO"/>
                <w14:ligatures w14:val="none"/>
              </w:rPr>
            </w:pPr>
            <w:r w:rsidRPr="00592AFE">
              <w:rPr>
                <w:rFonts w:ascii="Gotham Book" w:eastAsia="Times New Roman" w:hAnsi="Gotham Book" w:cs="Times New Roman"/>
                <w:b/>
                <w:bCs/>
                <w:color w:val="000000"/>
                <w:kern w:val="0"/>
                <w:sz w:val="18"/>
                <w:szCs w:val="18"/>
                <w:lang w:eastAsia="es-DO"/>
                <w14:ligatures w14:val="none"/>
              </w:rPr>
              <w:t>Coeficientes</w:t>
            </w:r>
          </w:p>
        </w:tc>
      </w:tr>
      <w:tr w:rsidR="00592AFE" w:rsidRPr="00592AFE" w14:paraId="160ED3E5" w14:textId="77777777" w:rsidTr="004D4BFD">
        <w:trPr>
          <w:trHeight w:val="355"/>
          <w:jc w:val="center"/>
        </w:trPr>
        <w:tc>
          <w:tcPr>
            <w:tcW w:w="3265" w:type="dxa"/>
            <w:vMerge/>
            <w:tcBorders>
              <w:top w:val="single" w:sz="4" w:space="0" w:color="auto"/>
              <w:left w:val="single" w:sz="4" w:space="0" w:color="auto"/>
              <w:bottom w:val="nil"/>
              <w:right w:val="nil"/>
            </w:tcBorders>
            <w:vAlign w:val="center"/>
            <w:hideMark/>
          </w:tcPr>
          <w:p w14:paraId="42E99E06" w14:textId="77777777" w:rsidR="00592AFE" w:rsidRPr="00592AFE" w:rsidRDefault="00592AFE" w:rsidP="00592AFE">
            <w:pPr>
              <w:spacing w:after="0" w:line="240" w:lineRule="auto"/>
              <w:rPr>
                <w:rFonts w:ascii="Gotham Book" w:eastAsia="Times New Roman" w:hAnsi="Gotham Book" w:cs="Times New Roman"/>
                <w:b/>
                <w:bCs/>
                <w:color w:val="000000"/>
                <w:kern w:val="0"/>
                <w:sz w:val="18"/>
                <w:szCs w:val="18"/>
                <w:lang w:eastAsia="es-DO"/>
                <w14:ligatures w14:val="none"/>
              </w:rPr>
            </w:pPr>
          </w:p>
        </w:tc>
        <w:tc>
          <w:tcPr>
            <w:tcW w:w="953" w:type="dxa"/>
            <w:tcBorders>
              <w:top w:val="nil"/>
              <w:left w:val="single" w:sz="4" w:space="0" w:color="auto"/>
              <w:bottom w:val="single" w:sz="4" w:space="0" w:color="auto"/>
              <w:right w:val="nil"/>
            </w:tcBorders>
            <w:shd w:val="clear" w:color="auto" w:fill="auto"/>
            <w:vAlign w:val="center"/>
            <w:hideMark/>
          </w:tcPr>
          <w:p w14:paraId="17601B02" w14:textId="77777777" w:rsidR="00592AFE" w:rsidRPr="00592AFE" w:rsidRDefault="00592AFE" w:rsidP="00592AFE">
            <w:pPr>
              <w:spacing w:after="0" w:line="240" w:lineRule="auto"/>
              <w:jc w:val="center"/>
              <w:rPr>
                <w:rFonts w:ascii="Gotham Book" w:eastAsia="Times New Roman" w:hAnsi="Gotham Book" w:cs="Times New Roman"/>
                <w:b/>
                <w:bCs/>
                <w:color w:val="000000"/>
                <w:kern w:val="0"/>
                <w:sz w:val="18"/>
                <w:szCs w:val="18"/>
                <w:lang w:eastAsia="es-DO"/>
                <w14:ligatures w14:val="none"/>
              </w:rPr>
            </w:pPr>
            <w:proofErr w:type="spellStart"/>
            <w:r w:rsidRPr="00592AFE">
              <w:rPr>
                <w:rFonts w:ascii="Gotham Book" w:eastAsia="Times New Roman" w:hAnsi="Gotham Book" w:cs="Times New Roman"/>
                <w:b/>
                <w:bCs/>
                <w:color w:val="000000"/>
                <w:kern w:val="0"/>
                <w:sz w:val="18"/>
                <w:szCs w:val="18"/>
                <w:lang w:eastAsia="es-DO"/>
                <w14:ligatures w14:val="none"/>
              </w:rPr>
              <w:t>Dev_Pos</w:t>
            </w:r>
            <w:proofErr w:type="spellEnd"/>
          </w:p>
        </w:tc>
        <w:tc>
          <w:tcPr>
            <w:tcW w:w="995" w:type="dxa"/>
            <w:tcBorders>
              <w:top w:val="nil"/>
              <w:left w:val="nil"/>
              <w:bottom w:val="single" w:sz="4" w:space="0" w:color="auto"/>
              <w:right w:val="nil"/>
            </w:tcBorders>
            <w:shd w:val="clear" w:color="auto" w:fill="auto"/>
            <w:vAlign w:val="center"/>
            <w:hideMark/>
          </w:tcPr>
          <w:p w14:paraId="5CF8D27F" w14:textId="77777777" w:rsidR="00592AFE" w:rsidRPr="00592AFE" w:rsidRDefault="00592AFE" w:rsidP="00592AFE">
            <w:pPr>
              <w:spacing w:after="0" w:line="240" w:lineRule="auto"/>
              <w:jc w:val="center"/>
              <w:rPr>
                <w:rFonts w:ascii="Gotham Book" w:eastAsia="Times New Roman" w:hAnsi="Gotham Book" w:cs="Times New Roman"/>
                <w:b/>
                <w:bCs/>
                <w:color w:val="000000"/>
                <w:kern w:val="0"/>
                <w:sz w:val="18"/>
                <w:szCs w:val="18"/>
                <w:lang w:eastAsia="es-DO"/>
                <w14:ligatures w14:val="none"/>
              </w:rPr>
            </w:pPr>
            <w:proofErr w:type="spellStart"/>
            <w:r w:rsidRPr="00592AFE">
              <w:rPr>
                <w:rFonts w:ascii="Gotham Book" w:eastAsia="Times New Roman" w:hAnsi="Gotham Book" w:cs="Times New Roman"/>
                <w:b/>
                <w:bCs/>
                <w:color w:val="000000"/>
                <w:kern w:val="0"/>
                <w:sz w:val="18"/>
                <w:szCs w:val="18"/>
                <w:lang w:eastAsia="es-DO"/>
                <w14:ligatures w14:val="none"/>
              </w:rPr>
              <w:t>Dev_Neg</w:t>
            </w:r>
            <w:proofErr w:type="spellEnd"/>
          </w:p>
        </w:tc>
        <w:tc>
          <w:tcPr>
            <w:tcW w:w="1218" w:type="dxa"/>
            <w:tcBorders>
              <w:top w:val="nil"/>
              <w:left w:val="nil"/>
              <w:bottom w:val="single" w:sz="4" w:space="0" w:color="auto"/>
              <w:right w:val="single" w:sz="4" w:space="0" w:color="auto"/>
            </w:tcBorders>
            <w:shd w:val="clear" w:color="auto" w:fill="auto"/>
            <w:vAlign w:val="center"/>
            <w:hideMark/>
          </w:tcPr>
          <w:p w14:paraId="50B049DF" w14:textId="77777777" w:rsidR="00592AFE" w:rsidRPr="00592AFE" w:rsidRDefault="00592AFE" w:rsidP="00592AFE">
            <w:pPr>
              <w:spacing w:after="0" w:line="240" w:lineRule="auto"/>
              <w:jc w:val="center"/>
              <w:rPr>
                <w:rFonts w:ascii="Gotham Book" w:eastAsia="Times New Roman" w:hAnsi="Gotham Book" w:cs="Times New Roman"/>
                <w:b/>
                <w:bCs/>
                <w:color w:val="000000"/>
                <w:kern w:val="0"/>
                <w:sz w:val="18"/>
                <w:szCs w:val="18"/>
                <w:lang w:eastAsia="es-DO"/>
                <w14:ligatures w14:val="none"/>
              </w:rPr>
            </w:pPr>
            <w:r w:rsidRPr="00592AFE">
              <w:rPr>
                <w:rFonts w:ascii="Gotham Book" w:eastAsia="Times New Roman" w:hAnsi="Gotham Book" w:cs="Times New Roman"/>
                <w:b/>
                <w:bCs/>
                <w:color w:val="000000"/>
                <w:kern w:val="0"/>
                <w:sz w:val="18"/>
                <w:szCs w:val="18"/>
                <w:lang w:eastAsia="es-DO"/>
                <w14:ligatures w14:val="none"/>
              </w:rPr>
              <w:t>R-cuadrado</w:t>
            </w:r>
          </w:p>
        </w:tc>
      </w:tr>
      <w:tr w:rsidR="004D4BFD" w:rsidRPr="00592AFE" w14:paraId="16FBF14A" w14:textId="77777777" w:rsidTr="004D4BFD">
        <w:trPr>
          <w:trHeight w:val="347"/>
          <w:jc w:val="center"/>
        </w:trPr>
        <w:tc>
          <w:tcPr>
            <w:tcW w:w="3265" w:type="dxa"/>
            <w:tcBorders>
              <w:top w:val="single" w:sz="4" w:space="0" w:color="auto"/>
              <w:left w:val="single" w:sz="4" w:space="0" w:color="auto"/>
              <w:bottom w:val="nil"/>
              <w:right w:val="single" w:sz="4" w:space="0" w:color="auto"/>
            </w:tcBorders>
            <w:shd w:val="clear" w:color="000000" w:fill="E8E8E8"/>
            <w:vAlign w:val="center"/>
            <w:hideMark/>
          </w:tcPr>
          <w:p w14:paraId="51E3B089" w14:textId="77777777" w:rsidR="00592AFE" w:rsidRPr="00592AFE" w:rsidRDefault="00592AFE" w:rsidP="00592AFE">
            <w:pPr>
              <w:spacing w:after="0" w:line="240" w:lineRule="auto"/>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Expectativa general</w:t>
            </w:r>
          </w:p>
        </w:tc>
        <w:tc>
          <w:tcPr>
            <w:tcW w:w="953" w:type="dxa"/>
            <w:tcBorders>
              <w:top w:val="nil"/>
              <w:left w:val="nil"/>
              <w:bottom w:val="nil"/>
              <w:right w:val="nil"/>
            </w:tcBorders>
            <w:shd w:val="clear" w:color="000000" w:fill="E8E8E8"/>
            <w:vAlign w:val="center"/>
            <w:hideMark/>
          </w:tcPr>
          <w:p w14:paraId="26F86863"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0.402</w:t>
            </w:r>
          </w:p>
        </w:tc>
        <w:tc>
          <w:tcPr>
            <w:tcW w:w="995" w:type="dxa"/>
            <w:tcBorders>
              <w:top w:val="nil"/>
              <w:left w:val="nil"/>
              <w:bottom w:val="nil"/>
              <w:right w:val="nil"/>
            </w:tcBorders>
            <w:shd w:val="clear" w:color="000000" w:fill="E8E8E8"/>
            <w:vAlign w:val="center"/>
            <w:hideMark/>
          </w:tcPr>
          <w:p w14:paraId="22C97808"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-0.059</w:t>
            </w:r>
          </w:p>
        </w:tc>
        <w:tc>
          <w:tcPr>
            <w:tcW w:w="1218" w:type="dxa"/>
            <w:tcBorders>
              <w:top w:val="nil"/>
              <w:left w:val="nil"/>
              <w:bottom w:val="nil"/>
              <w:right w:val="single" w:sz="4" w:space="0" w:color="auto"/>
            </w:tcBorders>
            <w:shd w:val="clear" w:color="000000" w:fill="E8E8E8"/>
            <w:vAlign w:val="center"/>
            <w:hideMark/>
          </w:tcPr>
          <w:p w14:paraId="260E8B1F"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0.268</w:t>
            </w:r>
          </w:p>
        </w:tc>
      </w:tr>
      <w:tr w:rsidR="00592AFE" w:rsidRPr="00592AFE" w14:paraId="269E9A13" w14:textId="77777777" w:rsidTr="004D4BFD">
        <w:trPr>
          <w:trHeight w:val="300"/>
          <w:jc w:val="center"/>
        </w:trPr>
        <w:tc>
          <w:tcPr>
            <w:tcW w:w="3265" w:type="dxa"/>
            <w:tcBorders>
              <w:top w:val="nil"/>
              <w:left w:val="single" w:sz="4" w:space="0" w:color="auto"/>
              <w:bottom w:val="nil"/>
              <w:right w:val="single" w:sz="4" w:space="0" w:color="auto"/>
            </w:tcBorders>
            <w:shd w:val="clear" w:color="auto" w:fill="auto"/>
            <w:vAlign w:val="center"/>
            <w:hideMark/>
          </w:tcPr>
          <w:p w14:paraId="5A64733B" w14:textId="77777777" w:rsidR="00592AFE" w:rsidRPr="00592AFE" w:rsidRDefault="00592AFE" w:rsidP="00592AFE">
            <w:pPr>
              <w:spacing w:after="0" w:line="240" w:lineRule="auto"/>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Bancos</w:t>
            </w:r>
          </w:p>
        </w:tc>
        <w:tc>
          <w:tcPr>
            <w:tcW w:w="953" w:type="dxa"/>
            <w:tcBorders>
              <w:top w:val="nil"/>
              <w:left w:val="nil"/>
              <w:bottom w:val="nil"/>
              <w:right w:val="nil"/>
            </w:tcBorders>
            <w:shd w:val="clear" w:color="auto" w:fill="auto"/>
            <w:vAlign w:val="center"/>
            <w:hideMark/>
          </w:tcPr>
          <w:p w14:paraId="5AA585FC"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0.387</w:t>
            </w:r>
          </w:p>
        </w:tc>
        <w:tc>
          <w:tcPr>
            <w:tcW w:w="995" w:type="dxa"/>
            <w:tcBorders>
              <w:top w:val="nil"/>
              <w:left w:val="nil"/>
              <w:bottom w:val="nil"/>
              <w:right w:val="nil"/>
            </w:tcBorders>
            <w:shd w:val="clear" w:color="auto" w:fill="auto"/>
            <w:vAlign w:val="center"/>
            <w:hideMark/>
          </w:tcPr>
          <w:p w14:paraId="1B11EF70"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-0.099</w:t>
            </w:r>
          </w:p>
        </w:tc>
        <w:tc>
          <w:tcPr>
            <w:tcW w:w="1218" w:type="dxa"/>
            <w:tcBorders>
              <w:top w:val="nil"/>
              <w:left w:val="nil"/>
              <w:bottom w:val="nil"/>
              <w:right w:val="single" w:sz="4" w:space="0" w:color="auto"/>
            </w:tcBorders>
            <w:shd w:val="clear" w:color="auto" w:fill="auto"/>
            <w:vAlign w:val="center"/>
            <w:hideMark/>
          </w:tcPr>
          <w:p w14:paraId="1A1B5BD4"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0.280</w:t>
            </w:r>
          </w:p>
        </w:tc>
      </w:tr>
      <w:tr w:rsidR="004D4BFD" w:rsidRPr="00592AFE" w14:paraId="4254BD73" w14:textId="77777777" w:rsidTr="004D4BFD">
        <w:trPr>
          <w:trHeight w:val="395"/>
          <w:jc w:val="center"/>
        </w:trPr>
        <w:tc>
          <w:tcPr>
            <w:tcW w:w="3265" w:type="dxa"/>
            <w:tcBorders>
              <w:top w:val="nil"/>
              <w:left w:val="single" w:sz="4" w:space="0" w:color="auto"/>
              <w:bottom w:val="nil"/>
              <w:right w:val="single" w:sz="4" w:space="0" w:color="auto"/>
            </w:tcBorders>
            <w:shd w:val="clear" w:color="000000" w:fill="E8E8E8"/>
            <w:vAlign w:val="center"/>
            <w:hideMark/>
          </w:tcPr>
          <w:p w14:paraId="2D899E60" w14:textId="77777777" w:rsidR="00592AFE" w:rsidRPr="00592AFE" w:rsidRDefault="00592AFE" w:rsidP="00592AFE">
            <w:pPr>
              <w:spacing w:after="0" w:line="240" w:lineRule="auto"/>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Organismos Multilaterales</w:t>
            </w:r>
          </w:p>
        </w:tc>
        <w:tc>
          <w:tcPr>
            <w:tcW w:w="953" w:type="dxa"/>
            <w:tcBorders>
              <w:top w:val="nil"/>
              <w:left w:val="nil"/>
              <w:bottom w:val="nil"/>
              <w:right w:val="nil"/>
            </w:tcBorders>
            <w:shd w:val="clear" w:color="000000" w:fill="E8E8E8"/>
            <w:vAlign w:val="center"/>
            <w:hideMark/>
          </w:tcPr>
          <w:p w14:paraId="138D89B1"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0.262</w:t>
            </w:r>
          </w:p>
        </w:tc>
        <w:tc>
          <w:tcPr>
            <w:tcW w:w="995" w:type="dxa"/>
            <w:tcBorders>
              <w:top w:val="nil"/>
              <w:left w:val="nil"/>
              <w:bottom w:val="nil"/>
              <w:right w:val="nil"/>
            </w:tcBorders>
            <w:shd w:val="clear" w:color="000000" w:fill="E8E8E8"/>
            <w:vAlign w:val="center"/>
            <w:hideMark/>
          </w:tcPr>
          <w:p w14:paraId="37E80359"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-0.052</w:t>
            </w:r>
          </w:p>
        </w:tc>
        <w:tc>
          <w:tcPr>
            <w:tcW w:w="1218" w:type="dxa"/>
            <w:tcBorders>
              <w:top w:val="nil"/>
              <w:left w:val="nil"/>
              <w:bottom w:val="nil"/>
              <w:right w:val="single" w:sz="4" w:space="0" w:color="auto"/>
            </w:tcBorders>
            <w:shd w:val="clear" w:color="000000" w:fill="E8E8E8"/>
            <w:vAlign w:val="center"/>
            <w:hideMark/>
          </w:tcPr>
          <w:p w14:paraId="5AD54213"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0.139</w:t>
            </w:r>
          </w:p>
        </w:tc>
      </w:tr>
      <w:tr w:rsidR="00592AFE" w:rsidRPr="00592AFE" w14:paraId="2CD3B131" w14:textId="77777777" w:rsidTr="004D4BFD">
        <w:trPr>
          <w:trHeight w:val="300"/>
          <w:jc w:val="center"/>
        </w:trPr>
        <w:tc>
          <w:tcPr>
            <w:tcW w:w="3265" w:type="dxa"/>
            <w:tcBorders>
              <w:top w:val="nil"/>
              <w:left w:val="single" w:sz="4" w:space="0" w:color="auto"/>
              <w:bottom w:val="nil"/>
              <w:right w:val="single" w:sz="4" w:space="0" w:color="auto"/>
            </w:tcBorders>
            <w:shd w:val="clear" w:color="auto" w:fill="auto"/>
            <w:vAlign w:val="center"/>
            <w:hideMark/>
          </w:tcPr>
          <w:p w14:paraId="47F4C9DB" w14:textId="77777777" w:rsidR="00592AFE" w:rsidRPr="00592AFE" w:rsidRDefault="00592AFE" w:rsidP="00592AFE">
            <w:pPr>
              <w:spacing w:after="0" w:line="240" w:lineRule="auto"/>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Consultores</w:t>
            </w:r>
          </w:p>
        </w:tc>
        <w:tc>
          <w:tcPr>
            <w:tcW w:w="953" w:type="dxa"/>
            <w:tcBorders>
              <w:top w:val="nil"/>
              <w:left w:val="nil"/>
              <w:bottom w:val="nil"/>
              <w:right w:val="nil"/>
            </w:tcBorders>
            <w:shd w:val="clear" w:color="auto" w:fill="auto"/>
            <w:vAlign w:val="center"/>
            <w:hideMark/>
          </w:tcPr>
          <w:p w14:paraId="14F0B1AD"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0.382</w:t>
            </w:r>
          </w:p>
        </w:tc>
        <w:tc>
          <w:tcPr>
            <w:tcW w:w="995" w:type="dxa"/>
            <w:tcBorders>
              <w:top w:val="nil"/>
              <w:left w:val="nil"/>
              <w:bottom w:val="nil"/>
              <w:right w:val="nil"/>
            </w:tcBorders>
            <w:shd w:val="clear" w:color="auto" w:fill="auto"/>
            <w:vAlign w:val="center"/>
            <w:hideMark/>
          </w:tcPr>
          <w:p w14:paraId="70DCE886"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-0.149</w:t>
            </w:r>
          </w:p>
        </w:tc>
        <w:tc>
          <w:tcPr>
            <w:tcW w:w="1218" w:type="dxa"/>
            <w:tcBorders>
              <w:top w:val="nil"/>
              <w:left w:val="nil"/>
              <w:bottom w:val="nil"/>
              <w:right w:val="single" w:sz="4" w:space="0" w:color="auto"/>
            </w:tcBorders>
            <w:shd w:val="clear" w:color="auto" w:fill="auto"/>
            <w:vAlign w:val="center"/>
            <w:hideMark/>
          </w:tcPr>
          <w:p w14:paraId="65D16319"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0.308</w:t>
            </w:r>
          </w:p>
        </w:tc>
      </w:tr>
      <w:tr w:rsidR="00592AFE" w:rsidRPr="00592AFE" w14:paraId="0AAD8CF4" w14:textId="77777777" w:rsidTr="004D4BFD">
        <w:trPr>
          <w:trHeight w:val="300"/>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14:paraId="504168FC" w14:textId="77777777" w:rsidR="00592AFE" w:rsidRPr="00592AFE" w:rsidRDefault="00592AFE" w:rsidP="00592AFE">
            <w:pPr>
              <w:spacing w:after="0" w:line="240" w:lineRule="auto"/>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Otros</w:t>
            </w:r>
          </w:p>
        </w:tc>
        <w:tc>
          <w:tcPr>
            <w:tcW w:w="953" w:type="dxa"/>
            <w:tcBorders>
              <w:top w:val="nil"/>
              <w:left w:val="nil"/>
              <w:bottom w:val="single" w:sz="4" w:space="0" w:color="auto"/>
              <w:right w:val="nil"/>
            </w:tcBorders>
            <w:shd w:val="clear" w:color="auto" w:fill="auto"/>
            <w:vAlign w:val="center"/>
            <w:hideMark/>
          </w:tcPr>
          <w:p w14:paraId="7865709F"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0.494</w:t>
            </w:r>
          </w:p>
        </w:tc>
        <w:tc>
          <w:tcPr>
            <w:tcW w:w="995" w:type="dxa"/>
            <w:tcBorders>
              <w:top w:val="nil"/>
              <w:left w:val="nil"/>
              <w:bottom w:val="single" w:sz="4" w:space="0" w:color="auto"/>
              <w:right w:val="nil"/>
            </w:tcBorders>
            <w:shd w:val="clear" w:color="auto" w:fill="auto"/>
            <w:vAlign w:val="center"/>
            <w:hideMark/>
          </w:tcPr>
          <w:p w14:paraId="669E853C"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-0.062</w:t>
            </w:r>
          </w:p>
        </w:tc>
        <w:tc>
          <w:tcPr>
            <w:tcW w:w="1218" w:type="dxa"/>
            <w:tcBorders>
              <w:top w:val="nil"/>
              <w:left w:val="nil"/>
              <w:bottom w:val="single" w:sz="4" w:space="0" w:color="auto"/>
              <w:right w:val="single" w:sz="4" w:space="0" w:color="auto"/>
            </w:tcBorders>
            <w:shd w:val="clear" w:color="auto" w:fill="auto"/>
            <w:vAlign w:val="center"/>
            <w:hideMark/>
          </w:tcPr>
          <w:p w14:paraId="6A6A4A34" w14:textId="77777777" w:rsidR="00592AFE" w:rsidRPr="00592AFE" w:rsidRDefault="00592AFE" w:rsidP="00592AFE">
            <w:pPr>
              <w:spacing w:after="0" w:line="240" w:lineRule="auto"/>
              <w:jc w:val="center"/>
              <w:rPr>
                <w:rFonts w:ascii="Gotham Book" w:eastAsia="Times New Roman" w:hAnsi="Gotham Book" w:cs="Times New Roman"/>
                <w:color w:val="000000"/>
                <w:kern w:val="0"/>
                <w:sz w:val="18"/>
                <w:szCs w:val="18"/>
                <w:lang w:eastAsia="es-DO"/>
                <w14:ligatures w14:val="none"/>
              </w:rPr>
            </w:pPr>
            <w:r w:rsidRPr="00592AFE">
              <w:rPr>
                <w:rFonts w:ascii="Gotham Book" w:eastAsia="Times New Roman" w:hAnsi="Gotham Book" w:cs="Times New Roman"/>
                <w:color w:val="000000"/>
                <w:kern w:val="0"/>
                <w:sz w:val="18"/>
                <w:szCs w:val="18"/>
                <w:lang w:eastAsia="es-DO"/>
                <w14:ligatures w14:val="none"/>
              </w:rPr>
              <w:t>0.163</w:t>
            </w:r>
          </w:p>
        </w:tc>
      </w:tr>
    </w:tbl>
    <w:p w14:paraId="7436C7B4" w14:textId="2DA609C7" w:rsidR="004D4BFD" w:rsidRDefault="004D4BFD" w:rsidP="00662731">
      <w:pPr>
        <w:jc w:val="both"/>
        <w:rPr>
          <w:rFonts w:ascii="Gotham Book" w:hAnsi="Gotham Book"/>
          <w:sz w:val="18"/>
          <w:szCs w:val="18"/>
        </w:rPr>
      </w:pPr>
      <w:r>
        <w:rPr>
          <w:rFonts w:ascii="Gotham Book" w:hAnsi="Gotham Book"/>
          <w:sz w:val="18"/>
          <w:szCs w:val="18"/>
        </w:rPr>
        <w:t xml:space="preserve">                           Fuente: elaboración propia con datos del banco central</w:t>
      </w:r>
    </w:p>
    <w:p w14:paraId="79CF093D" w14:textId="75A91FD3" w:rsidR="00662731" w:rsidRPr="00662731" w:rsidRDefault="00662731" w:rsidP="00662731">
      <w:pPr>
        <w:jc w:val="both"/>
        <w:rPr>
          <w:rFonts w:ascii="Gotham Book" w:hAnsi="Gotham Book"/>
          <w:sz w:val="18"/>
          <w:szCs w:val="18"/>
        </w:rPr>
      </w:pPr>
      <w:r w:rsidRPr="00662731">
        <w:rPr>
          <w:rFonts w:ascii="Gotham Book" w:hAnsi="Gotham Book"/>
          <w:sz w:val="18"/>
          <w:szCs w:val="18"/>
        </w:rPr>
        <w:t>Los resultados del modelo revelan una clara asimetría en cómo los agentes económicos ajustan sus expectativas. Los coeficientes positivos para </w:t>
      </w:r>
      <m:oMath>
        <m:r>
          <w:rPr>
            <w:rFonts w:ascii="Cambria Math" w:hAnsi="Cambria Math"/>
            <w:sz w:val="18"/>
            <w:szCs w:val="18"/>
          </w:rPr>
          <m:t>de</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pos</m:t>
            </m:r>
          </m:sub>
        </m:sSub>
      </m:oMath>
      <w:r w:rsidRPr="00662731">
        <w:rPr>
          <w:rFonts w:ascii="Gotham Book" w:hAnsi="Gotham Book"/>
          <w:sz w:val="18"/>
          <w:szCs w:val="18"/>
        </w:rPr>
        <w:t> (entre 0.262 y 0.494) indican que cuando la inflación supera la meta, las expectativas incrementan significativamente. Por el contrario, los coeficientes negativos pero menores en magnitud para </w:t>
      </w:r>
      <m:oMath>
        <m:r>
          <w:rPr>
            <w:rFonts w:ascii="Cambria Math" w:hAnsi="Cambria Math"/>
            <w:sz w:val="18"/>
            <w:szCs w:val="18"/>
          </w:rPr>
          <m:t>de</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neg</m:t>
            </m:r>
          </m:sub>
        </m:sSub>
      </m:oMath>
      <w:r w:rsidRPr="00662731">
        <w:rPr>
          <w:rFonts w:ascii="Gotham Book" w:hAnsi="Gotham Book"/>
          <w:sz w:val="18"/>
          <w:szCs w:val="18"/>
        </w:rPr>
        <w:t> (entre -0.059 y -0.149) muestran que las desviaciones por debajo de la meta tienen un efecto más moderado en las expectativas.</w:t>
      </w:r>
    </w:p>
    <w:p w14:paraId="16A253F0" w14:textId="6ACFA3ED" w:rsidR="00662731" w:rsidRDefault="00662731" w:rsidP="00662731">
      <w:pPr>
        <w:jc w:val="both"/>
        <w:rPr>
          <w:rFonts w:ascii="Gotham Book" w:hAnsi="Gotham Book"/>
          <w:sz w:val="18"/>
          <w:szCs w:val="18"/>
        </w:rPr>
      </w:pPr>
      <w:r w:rsidRPr="00662731">
        <w:rPr>
          <w:rFonts w:ascii="Gotham Book" w:hAnsi="Gotham Book"/>
          <w:sz w:val="18"/>
          <w:szCs w:val="18"/>
        </w:rPr>
        <w:t>Esta asimetría sugiere que los agentes económicos reaccionan más fuertemente ante inflación por encima de la meta que ante inflación por debajo de ella, lo que podría indicar una mayor preocupación por los riesgos inflacionarios que por los deflacionarios. El grupo "Otros" muestra la mayor sensibilidad a desviaciones positivas (0.494), mientras que los consultores presentan la mayor respuesta a desviaciones negativas (-0.149).</w:t>
      </w:r>
    </w:p>
    <w:p w14:paraId="6198928F" w14:textId="77777777" w:rsidR="00816068" w:rsidRPr="00662731" w:rsidRDefault="00816068" w:rsidP="00662731">
      <w:pPr>
        <w:jc w:val="both"/>
        <w:rPr>
          <w:rFonts w:ascii="Gotham Book" w:hAnsi="Gotham Book"/>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4724"/>
      </w:tblGrid>
      <w:tr w:rsidR="00662731" w:rsidRPr="00816068" w14:paraId="191B0069" w14:textId="77777777" w:rsidTr="0038739F">
        <w:trPr>
          <w:jc w:val="center"/>
        </w:trPr>
        <w:tc>
          <w:tcPr>
            <w:tcW w:w="4750" w:type="dxa"/>
          </w:tcPr>
          <w:p w14:paraId="4B037E9D" w14:textId="1FFC39F1" w:rsidR="00662731" w:rsidRPr="00816068" w:rsidRDefault="00662731" w:rsidP="006808B3">
            <w:pPr>
              <w:rPr>
                <w:rFonts w:ascii="Gotham Book" w:hAnsi="Gotham Book"/>
                <w:b/>
                <w:bCs/>
              </w:rPr>
            </w:pPr>
          </w:p>
        </w:tc>
        <w:tc>
          <w:tcPr>
            <w:tcW w:w="4750" w:type="dxa"/>
          </w:tcPr>
          <w:p w14:paraId="15FCAA39" w14:textId="6D0C539D" w:rsidR="00662731" w:rsidRPr="00816068" w:rsidRDefault="00662731" w:rsidP="006808B3">
            <w:pPr>
              <w:rPr>
                <w:rFonts w:ascii="Gotham Book" w:hAnsi="Gotham Book"/>
                <w:b/>
                <w:bCs/>
              </w:rPr>
            </w:pPr>
            <w:r w:rsidRPr="00816068">
              <w:rPr>
                <w:rFonts w:ascii="Gotham Book" w:hAnsi="Gotham Book"/>
                <w:b/>
                <w:bCs/>
              </w:rPr>
              <w:t xml:space="preserve">Impacto de la tasa de interés </w:t>
            </w:r>
            <w:r w:rsidRPr="00816068">
              <w:rPr>
                <w:rFonts w:ascii="Gotham Book" w:hAnsi="Gotham Book"/>
                <w:b/>
                <w:bCs/>
              </w:rPr>
              <w:t xml:space="preserve">180 </w:t>
            </w:r>
            <w:r w:rsidR="00816068">
              <w:rPr>
                <w:rFonts w:ascii="Gotham Book" w:hAnsi="Gotham Book"/>
                <w:b/>
                <w:bCs/>
              </w:rPr>
              <w:t>a las expectativas de inflación</w:t>
            </w:r>
          </w:p>
        </w:tc>
      </w:tr>
      <w:tr w:rsidR="00662731" w:rsidRPr="00816068" w14:paraId="507AE520" w14:textId="77777777" w:rsidTr="0038739F">
        <w:trPr>
          <w:jc w:val="center"/>
        </w:trPr>
        <w:tc>
          <w:tcPr>
            <w:tcW w:w="4750" w:type="dxa"/>
          </w:tcPr>
          <w:p w14:paraId="42B88611" w14:textId="182F6BEB" w:rsidR="004D4BFD" w:rsidRDefault="004D4BFD" w:rsidP="00816068">
            <w:pPr>
              <w:jc w:val="both"/>
              <w:rPr>
                <w:rFonts w:ascii="Gotham Book" w:hAnsi="Gotham Book"/>
                <w:color w:val="000000" w:themeColor="text1"/>
                <w:sz w:val="18"/>
                <w:szCs w:val="18"/>
                <w:lang w:val="es-ES"/>
              </w:rPr>
            </w:pPr>
            <w:r>
              <w:rPr>
                <w:rFonts w:ascii="Gotham Book" w:hAnsi="Gotham Book"/>
                <w:color w:val="000000" w:themeColor="text1"/>
                <w:sz w:val="18"/>
                <w:szCs w:val="18"/>
                <w:lang w:val="es-ES"/>
              </w:rPr>
              <w:t>Para identificar los efectos dinámicos entre las variables aisla</w:t>
            </w:r>
            <w:r w:rsidR="00B35478">
              <w:rPr>
                <w:rFonts w:ascii="Gotham Book" w:hAnsi="Gotham Book"/>
                <w:color w:val="000000" w:themeColor="text1"/>
                <w:sz w:val="18"/>
                <w:szCs w:val="18"/>
                <w:lang w:val="es-ES"/>
              </w:rPr>
              <w:t>ndo</w:t>
            </w:r>
            <w:r>
              <w:rPr>
                <w:rFonts w:ascii="Gotham Book" w:hAnsi="Gotham Book"/>
                <w:color w:val="000000" w:themeColor="text1"/>
                <w:sz w:val="18"/>
                <w:szCs w:val="18"/>
                <w:lang w:val="es-ES"/>
              </w:rPr>
              <w:t xml:space="preserve"> los choques estructurales y estimar su impacto a través del tiempo, se construye un modelo estructural de vectores autorregresivos (SVAR) con la siguiente representación: </w:t>
            </w:r>
          </w:p>
          <w:p w14:paraId="7D22DC24" w14:textId="545E95A5" w:rsidR="00B35478" w:rsidRDefault="00B35478" w:rsidP="00B35478">
            <w:pPr>
              <w:jc w:val="center"/>
              <w:rPr>
                <w:rFonts w:ascii="Gotham Book" w:hAnsi="Gotham Book"/>
                <w:color w:val="000000" w:themeColor="text1"/>
                <w:sz w:val="18"/>
                <w:szCs w:val="18"/>
                <w:lang w:val="es-ES"/>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y</m:t>
                    </m:r>
                  </m:e>
                  <m:sub>
                    <m:r>
                      <w:rPr>
                        <w:rFonts w:ascii="Cambria Math" w:hAnsi="Cambria Math"/>
                        <w:color w:val="000000" w:themeColor="text1"/>
                        <w:sz w:val="18"/>
                        <w:szCs w:val="18"/>
                      </w:rPr>
                      <m:t>t</m:t>
                    </m:r>
                  </m:sub>
                </m:sSub>
                <m:r>
                  <w:rPr>
                    <w:rFonts w:ascii="Cambria Math" w:hAnsi="Cambria Math"/>
                    <w:color w:val="000000" w:themeColor="text1"/>
                    <w:sz w:val="18"/>
                    <w:szCs w:val="18"/>
                    <w:lang w:val="es-ES"/>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lang w:val="es-ES"/>
                      </w:rPr>
                      <m:t>0</m:t>
                    </m:r>
                  </m:sub>
                </m:sSub>
                <m:r>
                  <w:rPr>
                    <w:rFonts w:ascii="Cambria Math" w:hAnsi="Cambria Math"/>
                    <w:color w:val="000000" w:themeColor="text1"/>
                    <w:sz w:val="18"/>
                    <w:szCs w:val="18"/>
                    <w:lang w:val="es-ES"/>
                  </w:rPr>
                  <m:t>+</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i</m:t>
                    </m:r>
                    <m:r>
                      <w:rPr>
                        <w:rFonts w:ascii="Cambria Math" w:hAnsi="Cambria Math"/>
                        <w:color w:val="000000" w:themeColor="text1"/>
                        <w:sz w:val="18"/>
                        <w:szCs w:val="18"/>
                        <w:lang w:val="es-ES"/>
                      </w:rPr>
                      <m:t>=1</m:t>
                    </m:r>
                  </m:sub>
                  <m:sup>
                    <m:r>
                      <w:rPr>
                        <w:rFonts w:ascii="Cambria Math" w:hAnsi="Cambria Math"/>
                        <w:color w:val="000000" w:themeColor="text1"/>
                        <w:sz w:val="18"/>
                        <w:szCs w:val="18"/>
                      </w:rPr>
                      <m:t>p</m:t>
                    </m: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w:rPr>
                            <w:rFonts w:ascii="Cambria Math" w:hAnsi="Cambria Math"/>
                            <w:color w:val="000000" w:themeColor="text1"/>
                            <w:sz w:val="18"/>
                            <w:szCs w:val="18"/>
                          </w:rPr>
                          <m:t>p</m:t>
                        </m:r>
                      </m:sub>
                    </m:s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y</m:t>
                        </m:r>
                      </m:e>
                      <m:sub>
                        <m:r>
                          <w:rPr>
                            <w:rFonts w:ascii="Cambria Math" w:hAnsi="Cambria Math"/>
                            <w:color w:val="000000" w:themeColor="text1"/>
                            <w:sz w:val="18"/>
                            <w:szCs w:val="18"/>
                          </w:rPr>
                          <m:t>t</m:t>
                        </m:r>
                        <m:r>
                          <w:rPr>
                            <w:rFonts w:ascii="Cambria Math" w:hAnsi="Cambria Math"/>
                            <w:color w:val="000000" w:themeColor="text1"/>
                            <w:sz w:val="18"/>
                            <w:szCs w:val="18"/>
                            <w:lang w:val="es-ES"/>
                          </w:rPr>
                          <m:t>-</m:t>
                        </m:r>
                        <m:r>
                          <w:rPr>
                            <w:rFonts w:ascii="Cambria Math" w:hAnsi="Cambria Math"/>
                            <w:color w:val="000000" w:themeColor="text1"/>
                            <w:sz w:val="18"/>
                            <w:szCs w:val="18"/>
                          </w:rPr>
                          <m:t>p</m:t>
                        </m:r>
                      </m:sub>
                    </m:sSub>
                    <m:r>
                      <w:rPr>
                        <w:rFonts w:ascii="Cambria Math" w:hAnsi="Cambria Math"/>
                        <w:color w:val="000000" w:themeColor="text1"/>
                        <w:sz w:val="18"/>
                        <w:szCs w:val="18"/>
                        <w:lang w:val="es-ES"/>
                      </w:rPr>
                      <m:t>+</m:t>
                    </m:r>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x</m:t>
                        </m:r>
                      </m:e>
                      <m:sub>
                        <m:r>
                          <w:rPr>
                            <w:rFonts w:ascii="Cambria Math" w:hAnsi="Cambria Math"/>
                            <w:color w:val="000000" w:themeColor="text1"/>
                            <w:sz w:val="18"/>
                            <w:szCs w:val="18"/>
                          </w:rPr>
                          <m:t>t</m:t>
                        </m:r>
                      </m:sub>
                    </m:sSub>
                    <m:r>
                      <w:rPr>
                        <w:rFonts w:ascii="Cambria Math" w:hAnsi="Cambria Math"/>
                        <w:color w:val="000000" w:themeColor="text1"/>
                        <w:sz w:val="18"/>
                        <w:szCs w:val="18"/>
                        <w:lang w:val="es-ES"/>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t</m:t>
                        </m:r>
                      </m:sub>
                    </m:sSub>
                  </m:e>
                </m:nary>
              </m:oMath>
            </m:oMathPara>
          </w:p>
          <w:p w14:paraId="40BB8AE7" w14:textId="4E2AA090" w:rsidR="004D4BFD" w:rsidRDefault="004D4BFD" w:rsidP="00816068">
            <w:pPr>
              <w:jc w:val="both"/>
              <w:rPr>
                <w:rFonts w:ascii="Gotham Book" w:hAnsi="Gotham Book"/>
                <w:color w:val="000000" w:themeColor="text1"/>
                <w:sz w:val="18"/>
                <w:szCs w:val="18"/>
                <w:lang w:val="es-ES"/>
              </w:rPr>
            </w:pPr>
          </w:p>
          <w:p w14:paraId="58BCB8CE" w14:textId="0C34213F" w:rsidR="00816068" w:rsidRPr="00816068" w:rsidRDefault="00816068" w:rsidP="00816068">
            <w:pPr>
              <w:jc w:val="both"/>
              <w:rPr>
                <w:rFonts w:ascii="Gotham Book" w:hAnsi="Gotham Book"/>
              </w:rPr>
            </w:pPr>
          </w:p>
        </w:tc>
        <w:tc>
          <w:tcPr>
            <w:tcW w:w="4750" w:type="dxa"/>
          </w:tcPr>
          <w:p w14:paraId="7FC32AD0" w14:textId="106EAC90" w:rsidR="00662731" w:rsidRPr="00816068" w:rsidRDefault="00662731" w:rsidP="006808B3">
            <w:pPr>
              <w:rPr>
                <w:rFonts w:ascii="Gotham Book" w:hAnsi="Gotham Book"/>
              </w:rPr>
            </w:pPr>
            <w:r w:rsidRPr="00816068">
              <w:rPr>
                <w:rFonts w:ascii="Gotham Book" w:hAnsi="Gotham Book"/>
              </w:rPr>
              <w:t>General</w:t>
            </w:r>
          </w:p>
          <w:p w14:paraId="540EA272" w14:textId="58B3AB65" w:rsidR="00662731" w:rsidRPr="00816068" w:rsidRDefault="00662731" w:rsidP="006808B3">
            <w:pPr>
              <w:rPr>
                <w:rFonts w:ascii="Gotham Book" w:hAnsi="Gotham Book"/>
              </w:rPr>
            </w:pPr>
            <w:r w:rsidRPr="00816068">
              <w:rPr>
                <w:rFonts w:ascii="Gotham Book" w:hAnsi="Gotham Book"/>
                <w:noProof/>
              </w:rPr>
              <w:drawing>
                <wp:inline distT="0" distB="0" distL="0" distR="0" wp14:anchorId="6EB9DF9D" wp14:editId="7545B30F">
                  <wp:extent cx="2429276" cy="1651000"/>
                  <wp:effectExtent l="0" t="0" r="0" b="0"/>
                  <wp:docPr id="1485849635" name="Picture 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49635" name="Picture 8" descr="A graph with a line&#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53" t="11428" b="4942"/>
                          <a:stretch/>
                        </pic:blipFill>
                        <pic:spPr bwMode="auto">
                          <a:xfrm>
                            <a:off x="0" y="0"/>
                            <a:ext cx="2500722" cy="16995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62731" w:rsidRPr="00816068" w14:paraId="0D457D4D" w14:textId="77777777" w:rsidTr="0038739F">
        <w:trPr>
          <w:jc w:val="center"/>
        </w:trPr>
        <w:tc>
          <w:tcPr>
            <w:tcW w:w="4750" w:type="dxa"/>
          </w:tcPr>
          <w:p w14:paraId="41DB31CF" w14:textId="77777777" w:rsidR="00662731" w:rsidRPr="00816068" w:rsidRDefault="00662731" w:rsidP="006808B3">
            <w:pPr>
              <w:rPr>
                <w:rFonts w:ascii="Gotham Book" w:hAnsi="Gotham Book"/>
              </w:rPr>
            </w:pPr>
          </w:p>
        </w:tc>
        <w:tc>
          <w:tcPr>
            <w:tcW w:w="4750" w:type="dxa"/>
          </w:tcPr>
          <w:p w14:paraId="4F683D0C" w14:textId="5B0AA14F" w:rsidR="00662731" w:rsidRPr="00816068" w:rsidRDefault="00662731" w:rsidP="006808B3">
            <w:pPr>
              <w:rPr>
                <w:rFonts w:ascii="Gotham Book" w:hAnsi="Gotham Book"/>
              </w:rPr>
            </w:pPr>
            <w:r w:rsidRPr="00816068">
              <w:rPr>
                <w:rFonts w:ascii="Gotham Book" w:hAnsi="Gotham Book"/>
              </w:rPr>
              <w:t>Bancos</w:t>
            </w:r>
          </w:p>
          <w:p w14:paraId="57A26D3C" w14:textId="49189711" w:rsidR="00662731" w:rsidRPr="00816068" w:rsidRDefault="00662731" w:rsidP="006808B3">
            <w:pPr>
              <w:rPr>
                <w:rFonts w:ascii="Gotham Book" w:hAnsi="Gotham Book"/>
              </w:rPr>
            </w:pPr>
            <w:r w:rsidRPr="00816068">
              <w:rPr>
                <w:rFonts w:ascii="Gotham Book" w:hAnsi="Gotham Book"/>
                <w:noProof/>
              </w:rPr>
              <w:drawing>
                <wp:inline distT="0" distB="0" distL="0" distR="0" wp14:anchorId="720BF06E" wp14:editId="63FE617D">
                  <wp:extent cx="2406650" cy="1650745"/>
                  <wp:effectExtent l="0" t="0" r="0" b="0"/>
                  <wp:docPr id="1336770590" name="Picture 9"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70590" name="Picture 9" descr="A graph with a line&#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609" t="10747" b="4988"/>
                          <a:stretch/>
                        </pic:blipFill>
                        <pic:spPr bwMode="auto">
                          <a:xfrm>
                            <a:off x="0" y="0"/>
                            <a:ext cx="2562202" cy="17574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62731" w:rsidRPr="00816068" w14:paraId="0041B90E" w14:textId="77777777" w:rsidTr="0038739F">
        <w:trPr>
          <w:jc w:val="center"/>
        </w:trPr>
        <w:tc>
          <w:tcPr>
            <w:tcW w:w="4750" w:type="dxa"/>
          </w:tcPr>
          <w:p w14:paraId="152DC3FF" w14:textId="77777777" w:rsidR="00662731" w:rsidRPr="00816068" w:rsidRDefault="00662731" w:rsidP="006808B3">
            <w:pPr>
              <w:rPr>
                <w:rFonts w:ascii="Gotham Book" w:hAnsi="Gotham Book"/>
              </w:rPr>
            </w:pPr>
          </w:p>
        </w:tc>
        <w:tc>
          <w:tcPr>
            <w:tcW w:w="4750" w:type="dxa"/>
          </w:tcPr>
          <w:p w14:paraId="0A9B3B61" w14:textId="1112B170" w:rsidR="00662731" w:rsidRPr="00816068" w:rsidRDefault="00662731" w:rsidP="006808B3">
            <w:pPr>
              <w:rPr>
                <w:rFonts w:ascii="Gotham Book" w:hAnsi="Gotham Book"/>
              </w:rPr>
            </w:pPr>
            <w:r w:rsidRPr="00816068">
              <w:rPr>
                <w:rFonts w:ascii="Gotham Book" w:hAnsi="Gotham Book"/>
              </w:rPr>
              <w:t>Organismos Multilaterales</w:t>
            </w:r>
            <w:r w:rsidRPr="00816068">
              <w:rPr>
                <w:rFonts w:ascii="Gotham Book" w:hAnsi="Gotham Book"/>
                <w:noProof/>
              </w:rPr>
              <w:drawing>
                <wp:inline distT="0" distB="0" distL="0" distR="0" wp14:anchorId="62B4F795" wp14:editId="1027DA19">
                  <wp:extent cx="2418080" cy="1630285"/>
                  <wp:effectExtent l="0" t="0" r="0" b="0"/>
                  <wp:docPr id="160283126" name="Picture 10"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3126" name="Picture 10" descr="A graph with a line&#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93" t="11468" b="5430"/>
                          <a:stretch/>
                        </pic:blipFill>
                        <pic:spPr bwMode="auto">
                          <a:xfrm>
                            <a:off x="0" y="0"/>
                            <a:ext cx="2455770" cy="16556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62731" w:rsidRPr="00816068" w14:paraId="0C8160BB" w14:textId="77777777" w:rsidTr="0038739F">
        <w:trPr>
          <w:jc w:val="center"/>
        </w:trPr>
        <w:tc>
          <w:tcPr>
            <w:tcW w:w="4750" w:type="dxa"/>
          </w:tcPr>
          <w:p w14:paraId="73A6F664" w14:textId="77777777" w:rsidR="00662731" w:rsidRPr="00816068" w:rsidRDefault="00662731" w:rsidP="006808B3">
            <w:pPr>
              <w:rPr>
                <w:rFonts w:ascii="Gotham Book" w:hAnsi="Gotham Book"/>
              </w:rPr>
            </w:pPr>
          </w:p>
        </w:tc>
        <w:tc>
          <w:tcPr>
            <w:tcW w:w="4750" w:type="dxa"/>
          </w:tcPr>
          <w:p w14:paraId="6841094E" w14:textId="17C4CADB" w:rsidR="00662731" w:rsidRPr="00816068" w:rsidRDefault="00662731" w:rsidP="006808B3">
            <w:pPr>
              <w:rPr>
                <w:rFonts w:ascii="Gotham Book" w:hAnsi="Gotham Book"/>
              </w:rPr>
            </w:pPr>
            <w:r w:rsidRPr="00816068">
              <w:rPr>
                <w:rFonts w:ascii="Gotham Book" w:hAnsi="Gotham Book"/>
              </w:rPr>
              <w:t>Otros</w:t>
            </w:r>
          </w:p>
          <w:p w14:paraId="62A91B18" w14:textId="5812E752" w:rsidR="00662731" w:rsidRPr="00816068" w:rsidRDefault="00662731" w:rsidP="006808B3">
            <w:pPr>
              <w:rPr>
                <w:rFonts w:ascii="Gotham Book" w:hAnsi="Gotham Book"/>
              </w:rPr>
            </w:pPr>
            <w:r w:rsidRPr="00816068">
              <w:rPr>
                <w:rFonts w:ascii="Gotham Book" w:hAnsi="Gotham Book"/>
                <w:noProof/>
              </w:rPr>
              <w:drawing>
                <wp:inline distT="0" distB="0" distL="0" distR="0" wp14:anchorId="31B03466" wp14:editId="6DAF3950">
                  <wp:extent cx="2418080" cy="1644034"/>
                  <wp:effectExtent l="0" t="0" r="0" b="0"/>
                  <wp:docPr id="554004942" name="Picture 1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04942" name="Picture 12" descr="A graph with a line&#10;&#10;AI-generated content may be incorrec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14" t="10598" b="5441"/>
                          <a:stretch/>
                        </pic:blipFill>
                        <pic:spPr bwMode="auto">
                          <a:xfrm>
                            <a:off x="0" y="0"/>
                            <a:ext cx="2450711" cy="166621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7EFEBA" w14:textId="74B5FBFB" w:rsidR="008C4B04" w:rsidRPr="00816068" w:rsidRDefault="008C4B04" w:rsidP="004D4BFD">
      <w:pPr>
        <w:jc w:val="both"/>
        <w:rPr>
          <w:rFonts w:ascii="Gotham Book" w:hAnsi="Gotham Book"/>
        </w:rPr>
      </w:pPr>
    </w:p>
    <w:sectPr w:rsidR="008C4B04" w:rsidRPr="00816068" w:rsidSect="00620E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F3077" w14:textId="77777777" w:rsidR="000E2D55" w:rsidRDefault="000E2D55" w:rsidP="000E2D55">
      <w:pPr>
        <w:spacing w:after="0" w:line="240" w:lineRule="auto"/>
      </w:pPr>
      <w:r>
        <w:separator/>
      </w:r>
    </w:p>
  </w:endnote>
  <w:endnote w:type="continuationSeparator" w:id="0">
    <w:p w14:paraId="188C9E84" w14:textId="77777777" w:rsidR="000E2D55" w:rsidRDefault="000E2D55" w:rsidP="000E2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tham Book">
    <w:panose1 w:val="00000000000000000000"/>
    <w:charset w:val="00"/>
    <w:family w:val="modern"/>
    <w:notTrueType/>
    <w:pitch w:val="variable"/>
    <w:sig w:usb0="A10000FF" w:usb1="4000005B"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C7DEC" w14:textId="77777777" w:rsidR="000E2D55" w:rsidRDefault="000E2D55" w:rsidP="000E2D55">
      <w:pPr>
        <w:spacing w:after="0" w:line="240" w:lineRule="auto"/>
      </w:pPr>
      <w:r>
        <w:separator/>
      </w:r>
    </w:p>
  </w:footnote>
  <w:footnote w:type="continuationSeparator" w:id="0">
    <w:p w14:paraId="38AF2066" w14:textId="77777777" w:rsidR="000E2D55" w:rsidRDefault="000E2D55" w:rsidP="000E2D55">
      <w:pPr>
        <w:spacing w:after="0" w:line="240" w:lineRule="auto"/>
      </w:pPr>
      <w:r>
        <w:continuationSeparator/>
      </w:r>
    </w:p>
  </w:footnote>
  <w:footnote w:id="1">
    <w:p w14:paraId="12685F71" w14:textId="455728A9" w:rsidR="00816068" w:rsidRPr="00816068" w:rsidRDefault="00816068">
      <w:pPr>
        <w:pStyle w:val="FootnoteText"/>
      </w:pPr>
      <w:r>
        <w:rPr>
          <w:rStyle w:val="FootnoteReference"/>
        </w:rPr>
        <w:footnoteRef/>
      </w:r>
      <w:r>
        <w:t xml:space="preserve"> </w:t>
      </w:r>
      <w:r w:rsidRPr="007C78CD">
        <w:rPr>
          <w:rFonts w:ascii="Gotham Book" w:hAnsi="Gotham Book"/>
          <w:sz w:val="14"/>
          <w:szCs w:val="14"/>
          <w:lang w:val="es-ES"/>
        </w:rPr>
        <w:t>Por José Burgos</w:t>
      </w:r>
      <w:r w:rsidR="004D4BFD">
        <w:rPr>
          <w:rFonts w:ascii="Gotham Book" w:hAnsi="Gotham Book"/>
          <w:sz w:val="14"/>
          <w:szCs w:val="14"/>
          <w:lang w:val="es-ES"/>
        </w:rPr>
        <w:t xml:space="preserve">, </w:t>
      </w:r>
      <w:proofErr w:type="spellStart"/>
      <w:r w:rsidR="004D4BFD">
        <w:rPr>
          <w:rFonts w:ascii="Gotham Book" w:hAnsi="Gotham Book"/>
          <w:sz w:val="14"/>
          <w:szCs w:val="14"/>
          <w:lang w:val="es-ES"/>
        </w:rPr>
        <w:t>Angel</w:t>
      </w:r>
      <w:proofErr w:type="spellEnd"/>
      <w:r w:rsidR="004D4BFD">
        <w:rPr>
          <w:rFonts w:ascii="Gotham Book" w:hAnsi="Gotham Book"/>
          <w:sz w:val="14"/>
          <w:szCs w:val="14"/>
          <w:lang w:val="es-ES"/>
        </w:rPr>
        <w:t xml:space="preserve"> Pichardo</w:t>
      </w:r>
      <w:r w:rsidRPr="007C78CD">
        <w:rPr>
          <w:rFonts w:ascii="Gotham Book" w:hAnsi="Gotham Book"/>
          <w:sz w:val="14"/>
          <w:szCs w:val="14"/>
          <w:lang w:val="es-ES"/>
        </w:rPr>
        <w:t xml:space="preserve"> y Nerys Ramírez, del Departamento de Programación Monetaria y Estudios Económicos.</w:t>
      </w:r>
    </w:p>
  </w:footnote>
  <w:footnote w:id="2">
    <w:p w14:paraId="18D53124" w14:textId="45CAE268" w:rsidR="000E2D55" w:rsidRPr="00816068" w:rsidRDefault="000E2D55">
      <w:pPr>
        <w:pStyle w:val="FootnoteText"/>
        <w:rPr>
          <w:rFonts w:ascii="Gotham Book" w:hAnsi="Gotham Book"/>
          <w:sz w:val="14"/>
          <w:szCs w:val="14"/>
          <w:lang w:val="es-ES"/>
        </w:rPr>
      </w:pPr>
      <w:r>
        <w:rPr>
          <w:rStyle w:val="FootnoteReference"/>
        </w:rPr>
        <w:footnoteRef/>
      </w:r>
      <w:r>
        <w:t xml:space="preserve"> </w:t>
      </w:r>
      <w:r w:rsidRPr="00816068">
        <w:rPr>
          <w:rFonts w:ascii="Gotham Book" w:hAnsi="Gotham Book"/>
          <w:sz w:val="14"/>
          <w:szCs w:val="14"/>
          <w:lang w:val="es-ES"/>
        </w:rPr>
        <w:t>Se decidió agrupar a los economistas, académicos y puesto de bolsa en otros debido a su baja frecuencia en la muestra.</w:t>
      </w:r>
    </w:p>
  </w:footnote>
  <w:footnote w:id="3">
    <w:p w14:paraId="013A304E" w14:textId="0951F12B" w:rsidR="00023B16" w:rsidRPr="00023B16" w:rsidRDefault="00023B16">
      <w:pPr>
        <w:pStyle w:val="FootnoteText"/>
        <w:rPr>
          <w:lang w:val="en-US"/>
        </w:rPr>
      </w:pPr>
      <w:r w:rsidRPr="00816068">
        <w:rPr>
          <w:rFonts w:ascii="Gotham Book" w:hAnsi="Gotham Book"/>
          <w:sz w:val="14"/>
          <w:szCs w:val="14"/>
          <w:lang w:val="es-ES"/>
        </w:rPr>
        <w:footnoteRef/>
      </w:r>
      <w:r w:rsidRPr="00816068">
        <w:rPr>
          <w:rFonts w:ascii="Gotham Book" w:hAnsi="Gotham Book"/>
          <w:sz w:val="14"/>
          <w:szCs w:val="14"/>
          <w:lang w:val="es-ES"/>
        </w:rPr>
        <w:t xml:space="preserve"> </w:t>
      </w:r>
      <w:proofErr w:type="spellStart"/>
      <w:r w:rsidRPr="00816068">
        <w:rPr>
          <w:rFonts w:ascii="Gotham Book" w:hAnsi="Gotham Book"/>
          <w:sz w:val="14"/>
          <w:szCs w:val="14"/>
          <w:lang w:val="es-ES"/>
        </w:rPr>
        <w:t>Mínimos</w:t>
      </w:r>
      <w:proofErr w:type="spellEnd"/>
      <w:r w:rsidRPr="00816068">
        <w:rPr>
          <w:rFonts w:ascii="Gotham Book" w:hAnsi="Gotham Book"/>
          <w:sz w:val="14"/>
          <w:szCs w:val="14"/>
          <w:lang w:val="es-ES"/>
        </w:rPr>
        <w:t xml:space="preserve"> Cuadrado </w:t>
      </w:r>
      <w:proofErr w:type="spellStart"/>
      <w:r w:rsidRPr="00816068">
        <w:rPr>
          <w:rFonts w:ascii="Gotham Book" w:hAnsi="Gotham Book"/>
          <w:sz w:val="14"/>
          <w:szCs w:val="14"/>
          <w:lang w:val="es-ES"/>
        </w:rPr>
        <w:t>Ordinarios</w:t>
      </w:r>
      <w:proofErr w:type="spellEnd"/>
      <w:r w:rsidRPr="00816068">
        <w:rPr>
          <w:rFonts w:ascii="Gotham Book" w:hAnsi="Gotham Book"/>
          <w:sz w:val="14"/>
          <w:szCs w:val="14"/>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A1529"/>
    <w:multiLevelType w:val="hybridMultilevel"/>
    <w:tmpl w:val="2B1C5EBE"/>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179046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04"/>
    <w:rsid w:val="00023B16"/>
    <w:rsid w:val="000E19DE"/>
    <w:rsid w:val="000E2D55"/>
    <w:rsid w:val="00494281"/>
    <w:rsid w:val="004D4BFD"/>
    <w:rsid w:val="00592AFE"/>
    <w:rsid w:val="00620E51"/>
    <w:rsid w:val="00662731"/>
    <w:rsid w:val="007E2CCF"/>
    <w:rsid w:val="00816068"/>
    <w:rsid w:val="008C4B04"/>
    <w:rsid w:val="008F26E6"/>
    <w:rsid w:val="00A86D5C"/>
    <w:rsid w:val="00AC068A"/>
    <w:rsid w:val="00B35478"/>
    <w:rsid w:val="00B9708E"/>
    <w:rsid w:val="00CF4E65"/>
    <w:rsid w:val="00DF3C5B"/>
    <w:rsid w:val="00E80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0CF009"/>
  <w15:chartTrackingRefBased/>
  <w15:docId w15:val="{93ED1D27-4FF4-4B95-BE51-E9246F3B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4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4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B04"/>
    <w:rPr>
      <w:rFonts w:eastAsiaTheme="majorEastAsia" w:cstheme="majorBidi"/>
      <w:color w:val="272727" w:themeColor="text1" w:themeTint="D8"/>
    </w:rPr>
  </w:style>
  <w:style w:type="paragraph" w:styleId="Title">
    <w:name w:val="Title"/>
    <w:basedOn w:val="Normal"/>
    <w:next w:val="Normal"/>
    <w:link w:val="TitleChar"/>
    <w:uiPriority w:val="10"/>
    <w:qFormat/>
    <w:rsid w:val="008C4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B04"/>
    <w:pPr>
      <w:spacing w:before="160"/>
      <w:jc w:val="center"/>
    </w:pPr>
    <w:rPr>
      <w:i/>
      <w:iCs/>
      <w:color w:val="404040" w:themeColor="text1" w:themeTint="BF"/>
    </w:rPr>
  </w:style>
  <w:style w:type="character" w:customStyle="1" w:styleId="QuoteChar">
    <w:name w:val="Quote Char"/>
    <w:basedOn w:val="DefaultParagraphFont"/>
    <w:link w:val="Quote"/>
    <w:uiPriority w:val="29"/>
    <w:rsid w:val="008C4B04"/>
    <w:rPr>
      <w:i/>
      <w:iCs/>
      <w:color w:val="404040" w:themeColor="text1" w:themeTint="BF"/>
    </w:rPr>
  </w:style>
  <w:style w:type="paragraph" w:styleId="ListParagraph">
    <w:name w:val="List Paragraph"/>
    <w:basedOn w:val="Normal"/>
    <w:uiPriority w:val="34"/>
    <w:qFormat/>
    <w:rsid w:val="008C4B04"/>
    <w:pPr>
      <w:ind w:left="720"/>
      <w:contextualSpacing/>
    </w:pPr>
  </w:style>
  <w:style w:type="character" w:styleId="IntenseEmphasis">
    <w:name w:val="Intense Emphasis"/>
    <w:basedOn w:val="DefaultParagraphFont"/>
    <w:uiPriority w:val="21"/>
    <w:qFormat/>
    <w:rsid w:val="008C4B04"/>
    <w:rPr>
      <w:i/>
      <w:iCs/>
      <w:color w:val="0F4761" w:themeColor="accent1" w:themeShade="BF"/>
    </w:rPr>
  </w:style>
  <w:style w:type="paragraph" w:styleId="IntenseQuote">
    <w:name w:val="Intense Quote"/>
    <w:basedOn w:val="Normal"/>
    <w:next w:val="Normal"/>
    <w:link w:val="IntenseQuoteChar"/>
    <w:uiPriority w:val="30"/>
    <w:qFormat/>
    <w:rsid w:val="008C4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B04"/>
    <w:rPr>
      <w:i/>
      <w:iCs/>
      <w:color w:val="0F4761" w:themeColor="accent1" w:themeShade="BF"/>
    </w:rPr>
  </w:style>
  <w:style w:type="character" w:styleId="IntenseReference">
    <w:name w:val="Intense Reference"/>
    <w:basedOn w:val="DefaultParagraphFont"/>
    <w:uiPriority w:val="32"/>
    <w:qFormat/>
    <w:rsid w:val="008C4B04"/>
    <w:rPr>
      <w:b/>
      <w:bCs/>
      <w:smallCaps/>
      <w:color w:val="0F4761" w:themeColor="accent1" w:themeShade="BF"/>
      <w:spacing w:val="5"/>
    </w:rPr>
  </w:style>
  <w:style w:type="character" w:styleId="Hyperlink">
    <w:name w:val="Hyperlink"/>
    <w:basedOn w:val="DefaultParagraphFont"/>
    <w:uiPriority w:val="99"/>
    <w:unhideWhenUsed/>
    <w:rsid w:val="008C4B04"/>
    <w:rPr>
      <w:color w:val="467886" w:themeColor="hyperlink"/>
      <w:u w:val="single"/>
    </w:rPr>
  </w:style>
  <w:style w:type="character" w:styleId="UnresolvedMention">
    <w:name w:val="Unresolved Mention"/>
    <w:basedOn w:val="DefaultParagraphFont"/>
    <w:uiPriority w:val="99"/>
    <w:semiHidden/>
    <w:unhideWhenUsed/>
    <w:rsid w:val="008C4B04"/>
    <w:rPr>
      <w:color w:val="605E5C"/>
      <w:shd w:val="clear" w:color="auto" w:fill="E1DFDD"/>
    </w:rPr>
  </w:style>
  <w:style w:type="paragraph" w:styleId="Header">
    <w:name w:val="header"/>
    <w:basedOn w:val="Normal"/>
    <w:link w:val="HeaderChar"/>
    <w:uiPriority w:val="99"/>
    <w:unhideWhenUsed/>
    <w:rsid w:val="000E2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D55"/>
  </w:style>
  <w:style w:type="paragraph" w:styleId="Footer">
    <w:name w:val="footer"/>
    <w:basedOn w:val="Normal"/>
    <w:link w:val="FooterChar"/>
    <w:uiPriority w:val="99"/>
    <w:unhideWhenUsed/>
    <w:rsid w:val="000E2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D55"/>
  </w:style>
  <w:style w:type="paragraph" w:styleId="FootnoteText">
    <w:name w:val="footnote text"/>
    <w:basedOn w:val="Normal"/>
    <w:link w:val="FootnoteTextChar"/>
    <w:uiPriority w:val="99"/>
    <w:semiHidden/>
    <w:unhideWhenUsed/>
    <w:rsid w:val="000E2D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D55"/>
    <w:rPr>
      <w:sz w:val="20"/>
      <w:szCs w:val="20"/>
    </w:rPr>
  </w:style>
  <w:style w:type="character" w:styleId="FootnoteReference">
    <w:name w:val="footnote reference"/>
    <w:basedOn w:val="DefaultParagraphFont"/>
    <w:uiPriority w:val="99"/>
    <w:semiHidden/>
    <w:unhideWhenUsed/>
    <w:rsid w:val="000E2D55"/>
    <w:rPr>
      <w:vertAlign w:val="superscript"/>
    </w:rPr>
  </w:style>
  <w:style w:type="character" w:styleId="PlaceholderText">
    <w:name w:val="Placeholder Text"/>
    <w:basedOn w:val="DefaultParagraphFont"/>
    <w:uiPriority w:val="99"/>
    <w:semiHidden/>
    <w:rsid w:val="00AC068A"/>
    <w:rPr>
      <w:color w:val="666666"/>
    </w:rPr>
  </w:style>
  <w:style w:type="table" w:styleId="TableGrid">
    <w:name w:val="Table Grid"/>
    <w:basedOn w:val="TableNormal"/>
    <w:uiPriority w:val="39"/>
    <w:rsid w:val="00CF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478317">
      <w:bodyDiv w:val="1"/>
      <w:marLeft w:val="0"/>
      <w:marRight w:val="0"/>
      <w:marTop w:val="0"/>
      <w:marBottom w:val="0"/>
      <w:divBdr>
        <w:top w:val="none" w:sz="0" w:space="0" w:color="auto"/>
        <w:left w:val="none" w:sz="0" w:space="0" w:color="auto"/>
        <w:bottom w:val="none" w:sz="0" w:space="0" w:color="auto"/>
        <w:right w:val="none" w:sz="0" w:space="0" w:color="auto"/>
      </w:divBdr>
    </w:div>
    <w:div w:id="1048727659">
      <w:bodyDiv w:val="1"/>
      <w:marLeft w:val="0"/>
      <w:marRight w:val="0"/>
      <w:marTop w:val="0"/>
      <w:marBottom w:val="0"/>
      <w:divBdr>
        <w:top w:val="none" w:sz="0" w:space="0" w:color="auto"/>
        <w:left w:val="none" w:sz="0" w:space="0" w:color="auto"/>
        <w:bottom w:val="none" w:sz="0" w:space="0" w:color="auto"/>
        <w:right w:val="none" w:sz="0" w:space="0" w:color="auto"/>
      </w:divBdr>
    </w:div>
    <w:div w:id="1456365937">
      <w:bodyDiv w:val="1"/>
      <w:marLeft w:val="0"/>
      <w:marRight w:val="0"/>
      <w:marTop w:val="0"/>
      <w:marBottom w:val="0"/>
      <w:divBdr>
        <w:top w:val="none" w:sz="0" w:space="0" w:color="auto"/>
        <w:left w:val="none" w:sz="0" w:space="0" w:color="auto"/>
        <w:bottom w:val="none" w:sz="0" w:space="0" w:color="auto"/>
        <w:right w:val="none" w:sz="0" w:space="0" w:color="auto"/>
      </w:divBdr>
    </w:div>
    <w:div w:id="196569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42934-4C35-418B-90A1-5BBBB35E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525</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BCRD</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Burgos Francisco</dc:creator>
  <cp:keywords/>
  <dc:description/>
  <cp:lastModifiedBy>Jose Antonio Burgos Francisco</cp:lastModifiedBy>
  <cp:revision>2</cp:revision>
  <dcterms:created xsi:type="dcterms:W3CDTF">2025-04-09T19:58:00Z</dcterms:created>
  <dcterms:modified xsi:type="dcterms:W3CDTF">2025-04-09T22:21:00Z</dcterms:modified>
</cp:coreProperties>
</file>