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1EC031" w14:textId="4486A827" w:rsidR="003240E1" w:rsidRPr="003240E1" w:rsidRDefault="00000000" w:rsidP="0082781E">
      <w:pPr>
        <w:pStyle w:val="Title"/>
        <w:rPr>
          <w:lang w:val="es-DO"/>
        </w:rPr>
      </w:pPr>
      <w:r w:rsidRPr="003240E1">
        <w:rPr>
          <w:lang w:val="es-DO"/>
        </w:rPr>
        <w:t xml:space="preserve">Análisis </w:t>
      </w:r>
      <w:r w:rsidR="003240E1" w:rsidRPr="003240E1">
        <w:rPr>
          <w:lang w:val="es-DO"/>
        </w:rPr>
        <w:t>e</w:t>
      </w:r>
      <w:r w:rsidRPr="003240E1">
        <w:rPr>
          <w:lang w:val="es-DO"/>
        </w:rPr>
        <w:t xml:space="preserve">xploratorio de las </w:t>
      </w:r>
      <w:r w:rsidR="003240E1" w:rsidRPr="003240E1">
        <w:rPr>
          <w:lang w:val="es-DO"/>
        </w:rPr>
        <w:t>t</w:t>
      </w:r>
      <w:r w:rsidRPr="003240E1">
        <w:rPr>
          <w:lang w:val="es-DO"/>
        </w:rPr>
        <w:t xml:space="preserve">ransferencias </w:t>
      </w:r>
      <w:r w:rsidR="003240E1" w:rsidRPr="003240E1">
        <w:rPr>
          <w:lang w:val="es-DO"/>
        </w:rPr>
        <w:t>e</w:t>
      </w:r>
      <w:r w:rsidRPr="003240E1">
        <w:rPr>
          <w:lang w:val="es-DO"/>
        </w:rPr>
        <w:t>lectrónicas en República Dominicana:</w:t>
      </w:r>
    </w:p>
    <w:p w14:paraId="3BBC298A" w14:textId="49749844" w:rsidR="00E42D5E" w:rsidRPr="003240E1" w:rsidRDefault="00000000" w:rsidP="0082781E">
      <w:pPr>
        <w:pStyle w:val="Title"/>
        <w:rPr>
          <w:lang w:val="es-DO"/>
        </w:rPr>
      </w:pPr>
      <w:r w:rsidRPr="003240E1">
        <w:rPr>
          <w:lang w:val="es-DO"/>
        </w:rPr>
        <w:t xml:space="preserve">Un </w:t>
      </w:r>
      <w:r w:rsidR="003240E1" w:rsidRPr="003240E1">
        <w:rPr>
          <w:lang w:val="es-DO"/>
        </w:rPr>
        <w:t>e</w:t>
      </w:r>
      <w:r w:rsidRPr="003240E1">
        <w:rPr>
          <w:lang w:val="es-DO"/>
        </w:rPr>
        <w:t xml:space="preserve">studio </w:t>
      </w:r>
      <w:r w:rsidR="003240E1" w:rsidRPr="003240E1">
        <w:rPr>
          <w:lang w:val="es-DO"/>
        </w:rPr>
        <w:t>p</w:t>
      </w:r>
      <w:r w:rsidRPr="003240E1">
        <w:rPr>
          <w:lang w:val="es-DO"/>
        </w:rPr>
        <w:t xml:space="preserve">re y </w:t>
      </w:r>
      <w:r w:rsidR="003240E1" w:rsidRPr="003240E1">
        <w:rPr>
          <w:lang w:val="es-DO"/>
        </w:rPr>
        <w:t>p</w:t>
      </w:r>
      <w:r w:rsidRPr="003240E1">
        <w:rPr>
          <w:lang w:val="es-DO"/>
        </w:rPr>
        <w:t>ost-COVID</w:t>
      </w:r>
    </w:p>
    <w:p w14:paraId="3C9256B8" w14:textId="77777777" w:rsidR="00E42D5E" w:rsidRPr="003240E1" w:rsidRDefault="00000000" w:rsidP="0082781E">
      <w:pPr>
        <w:pStyle w:val="Subtitle"/>
        <w:ind w:left="720" w:hanging="720"/>
        <w:jc w:val="center"/>
        <w:rPr>
          <w:lang w:val="es-DO"/>
        </w:rPr>
      </w:pPr>
      <w:r w:rsidRPr="003240E1">
        <w:rPr>
          <w:lang w:val="es-DO"/>
        </w:rPr>
        <w:t>Práctica 1 - Seminario de Economía Aplicada 1</w:t>
      </w:r>
    </w:p>
    <w:p w14:paraId="5515A48A" w14:textId="77777777" w:rsidR="00E42D5E" w:rsidRPr="003240E1" w:rsidRDefault="00000000" w:rsidP="0082781E">
      <w:pPr>
        <w:pStyle w:val="Author"/>
        <w:rPr>
          <w:lang w:val="es-DO"/>
        </w:rPr>
      </w:pPr>
      <w:r w:rsidRPr="003240E1">
        <w:rPr>
          <w:lang w:val="es-DO"/>
        </w:rPr>
        <w:t>José Ant. Burgos (25-0140)</w:t>
      </w:r>
    </w:p>
    <w:p w14:paraId="06DEE924" w14:textId="77777777" w:rsidR="003240E1" w:rsidRPr="003240E1" w:rsidRDefault="00000000" w:rsidP="0082781E">
      <w:pPr>
        <w:pStyle w:val="Date"/>
        <w:rPr>
          <w:lang w:val="es-DO"/>
        </w:rPr>
      </w:pPr>
      <w:r w:rsidRPr="003240E1">
        <w:rPr>
          <w:lang w:val="es-DO"/>
        </w:rPr>
        <w:t>2025-05-28</w:t>
      </w:r>
      <w:bookmarkStart w:id="0" w:name="resumen"/>
      <w:bookmarkStart w:id="1" w:name="_Toc199272472"/>
    </w:p>
    <w:p w14:paraId="4636B9B6" w14:textId="77777777" w:rsidR="0082781E" w:rsidRDefault="0082781E" w:rsidP="0082781E">
      <w:pPr>
        <w:pStyle w:val="Date"/>
        <w:rPr>
          <w:b/>
          <w:bCs/>
          <w:lang w:val="es-DO"/>
        </w:rPr>
      </w:pPr>
    </w:p>
    <w:p w14:paraId="7A589EC7" w14:textId="77777777" w:rsidR="0082781E" w:rsidRDefault="0082781E" w:rsidP="0082781E">
      <w:pPr>
        <w:pStyle w:val="Date"/>
        <w:rPr>
          <w:b/>
          <w:bCs/>
          <w:lang w:val="es-DO"/>
        </w:rPr>
      </w:pPr>
    </w:p>
    <w:p w14:paraId="333C7013" w14:textId="77777777" w:rsidR="0082781E" w:rsidRDefault="0082781E" w:rsidP="0082781E">
      <w:pPr>
        <w:pStyle w:val="Date"/>
        <w:rPr>
          <w:b/>
          <w:bCs/>
          <w:lang w:val="es-DO"/>
        </w:rPr>
      </w:pPr>
    </w:p>
    <w:p w14:paraId="2B815AD0" w14:textId="77777777" w:rsidR="0082781E" w:rsidRDefault="0082781E" w:rsidP="0082781E">
      <w:pPr>
        <w:pStyle w:val="Date"/>
        <w:rPr>
          <w:b/>
          <w:bCs/>
          <w:lang w:val="es-DO"/>
        </w:rPr>
      </w:pPr>
    </w:p>
    <w:p w14:paraId="4D2806A3" w14:textId="77777777" w:rsidR="0082781E" w:rsidRDefault="0082781E" w:rsidP="0082781E">
      <w:pPr>
        <w:pStyle w:val="Date"/>
        <w:rPr>
          <w:b/>
          <w:bCs/>
          <w:lang w:val="es-DO"/>
        </w:rPr>
      </w:pPr>
    </w:p>
    <w:p w14:paraId="19C05B0D" w14:textId="1C859EC1" w:rsidR="003240E1" w:rsidRPr="003240E1" w:rsidRDefault="003240E1" w:rsidP="0082781E">
      <w:pPr>
        <w:pStyle w:val="Date"/>
        <w:rPr>
          <w:b/>
          <w:bCs/>
          <w:lang w:val="es-DO"/>
        </w:rPr>
      </w:pPr>
      <w:r w:rsidRPr="003240E1">
        <w:rPr>
          <w:b/>
          <w:bCs/>
          <w:lang w:val="es-DO"/>
        </w:rPr>
        <w:t>Resumen</w:t>
      </w:r>
      <w:bookmarkEnd w:id="1"/>
    </w:p>
    <w:p w14:paraId="0371BFB1" w14:textId="249BDAD0" w:rsidR="003240E1" w:rsidRPr="003240E1" w:rsidRDefault="003240E1" w:rsidP="003240E1">
      <w:pPr>
        <w:pStyle w:val="FirstParagraph"/>
        <w:jc w:val="both"/>
        <w:rPr>
          <w:lang w:val="es-DO"/>
        </w:rPr>
      </w:pPr>
      <w:r w:rsidRPr="003240E1">
        <w:rPr>
          <w:lang w:val="es-DO"/>
        </w:rPr>
        <w:t xml:space="preserve">El presente informe examina la evolución de las transferencias electrónicas en República Dominicana durante el período 2008-2024, revelando transformaciones significativas en el sistema de pagos tras la pandemia de COVID-19. Los resultados muestran un crecimiento exponencial en el volumen de transacciones electrónicas, con aumentos promedio del 141% en instrumentos de pago y 290% en transferencias electrónicas durante el período post-COVID comparado </w:t>
      </w:r>
      <w:r w:rsidR="0082781E">
        <w:rPr>
          <w:lang w:val="es-DO"/>
        </w:rPr>
        <w:t>con el per</w:t>
      </w:r>
      <w:r w:rsidR="0098517B">
        <w:rPr>
          <w:lang w:val="es-DO"/>
        </w:rPr>
        <w:t>í</w:t>
      </w:r>
      <w:r w:rsidR="0082781E">
        <w:rPr>
          <w:lang w:val="es-DO"/>
        </w:rPr>
        <w:t xml:space="preserve">odo </w:t>
      </w:r>
      <w:proofErr w:type="spellStart"/>
      <w:r w:rsidRPr="003240E1">
        <w:rPr>
          <w:lang w:val="es-DO"/>
        </w:rPr>
        <w:t>pre-pandémica</w:t>
      </w:r>
      <w:proofErr w:type="spellEnd"/>
      <w:r w:rsidRPr="003240E1">
        <w:rPr>
          <w:lang w:val="es-DO"/>
        </w:rPr>
        <w:t>.</w:t>
      </w:r>
    </w:p>
    <w:bookmarkEnd w:id="0"/>
    <w:p w14:paraId="73709770" w14:textId="3DD3A518" w:rsidR="003240E1" w:rsidRPr="003240E1" w:rsidRDefault="003240E1" w:rsidP="003240E1">
      <w:pPr>
        <w:jc w:val="both"/>
        <w:rPr>
          <w:lang w:val="es-DO"/>
        </w:rPr>
      </w:pPr>
    </w:p>
    <w:p w14:paraId="360D6B99" w14:textId="77777777" w:rsidR="00E42D5E" w:rsidRPr="003240E1" w:rsidRDefault="00E42D5E" w:rsidP="003240E1">
      <w:pPr>
        <w:pStyle w:val="Date"/>
        <w:jc w:val="both"/>
        <w:rPr>
          <w:lang w:val="es-DO"/>
        </w:rPr>
      </w:pPr>
    </w:p>
    <w:p w14:paraId="6CAB1523" w14:textId="77777777" w:rsidR="003240E1" w:rsidRPr="003240E1" w:rsidRDefault="003240E1" w:rsidP="003240E1">
      <w:pPr>
        <w:pStyle w:val="BodyText"/>
        <w:jc w:val="both"/>
        <w:rPr>
          <w:lang w:val="es-DO"/>
        </w:rPr>
      </w:pPr>
    </w:p>
    <w:p w14:paraId="6FF621D8" w14:textId="507D3DB3" w:rsidR="003240E1" w:rsidRPr="003240E1" w:rsidRDefault="003240E1" w:rsidP="003240E1">
      <w:pPr>
        <w:jc w:val="both"/>
        <w:rPr>
          <w:lang w:val="es-DO"/>
        </w:rPr>
      </w:pPr>
      <w:r w:rsidRPr="003240E1">
        <w:rPr>
          <w:lang w:val="es-DO"/>
        </w:rPr>
        <w:br w:type="page"/>
      </w:r>
    </w:p>
    <w:sdt>
      <w:sdtPr>
        <w:rPr>
          <w:rFonts w:asciiTheme="minorHAnsi" w:eastAsiaTheme="minorHAnsi" w:hAnsiTheme="minorHAnsi" w:cstheme="minorBidi"/>
          <w:color w:val="auto"/>
          <w:sz w:val="24"/>
          <w:szCs w:val="24"/>
          <w:lang w:val="es-DO"/>
        </w:rPr>
        <w:id w:val="1640218488"/>
        <w:docPartObj>
          <w:docPartGallery w:val="Table of Contents"/>
          <w:docPartUnique/>
        </w:docPartObj>
      </w:sdtPr>
      <w:sdtContent>
        <w:p w14:paraId="13DDD83F" w14:textId="77777777" w:rsidR="00E42D5E" w:rsidRPr="003240E1" w:rsidRDefault="00000000" w:rsidP="003240E1">
          <w:pPr>
            <w:pStyle w:val="TOCHeading"/>
            <w:jc w:val="both"/>
            <w:rPr>
              <w:lang w:val="es-DO"/>
            </w:rPr>
          </w:pPr>
          <w:r w:rsidRPr="003240E1">
            <w:rPr>
              <w:lang w:val="es-DO"/>
            </w:rPr>
            <w:t>Contenido</w:t>
          </w:r>
        </w:p>
        <w:p w14:paraId="1A5E5A87" w14:textId="245A9BAF" w:rsidR="009B10C3" w:rsidRDefault="00000000">
          <w:pPr>
            <w:pStyle w:val="TOC1"/>
            <w:tabs>
              <w:tab w:val="right" w:leader="dot" w:pos="9350"/>
            </w:tabs>
            <w:rPr>
              <w:rFonts w:eastAsiaTheme="minorEastAsia"/>
              <w:noProof/>
              <w:kern w:val="2"/>
              <w14:ligatures w14:val="standardContextual"/>
            </w:rPr>
          </w:pPr>
          <w:r w:rsidRPr="003240E1">
            <w:rPr>
              <w:lang w:val="es-DO"/>
            </w:rPr>
            <w:fldChar w:fldCharType="begin"/>
          </w:r>
          <w:r w:rsidRPr="003240E1">
            <w:rPr>
              <w:lang w:val="es-DO"/>
            </w:rPr>
            <w:instrText>TOC \o "1-3" \h \z \u</w:instrText>
          </w:r>
          <w:r w:rsidRPr="003240E1">
            <w:rPr>
              <w:lang w:val="es-DO"/>
            </w:rPr>
            <w:fldChar w:fldCharType="separate"/>
          </w:r>
          <w:hyperlink w:anchor="_Toc199274303" w:history="1">
            <w:r w:rsidR="009B10C3" w:rsidRPr="00C32FA4">
              <w:rPr>
                <w:rStyle w:val="Hyperlink"/>
                <w:noProof/>
                <w:lang w:val="es-DO"/>
              </w:rPr>
              <w:t>Introducción</w:t>
            </w:r>
            <w:r w:rsidR="009B10C3">
              <w:rPr>
                <w:noProof/>
                <w:webHidden/>
              </w:rPr>
              <w:tab/>
            </w:r>
            <w:r w:rsidR="009B10C3">
              <w:rPr>
                <w:noProof/>
                <w:webHidden/>
              </w:rPr>
              <w:fldChar w:fldCharType="begin"/>
            </w:r>
            <w:r w:rsidR="009B10C3">
              <w:rPr>
                <w:noProof/>
                <w:webHidden/>
              </w:rPr>
              <w:instrText xml:space="preserve"> PAGEREF _Toc199274303 \h </w:instrText>
            </w:r>
            <w:r w:rsidR="009B10C3">
              <w:rPr>
                <w:noProof/>
                <w:webHidden/>
              </w:rPr>
            </w:r>
            <w:r w:rsidR="009B10C3">
              <w:rPr>
                <w:noProof/>
                <w:webHidden/>
              </w:rPr>
              <w:fldChar w:fldCharType="separate"/>
            </w:r>
            <w:r w:rsidR="009B10C3">
              <w:rPr>
                <w:noProof/>
                <w:webHidden/>
              </w:rPr>
              <w:t>3</w:t>
            </w:r>
            <w:r w:rsidR="009B10C3">
              <w:rPr>
                <w:noProof/>
                <w:webHidden/>
              </w:rPr>
              <w:fldChar w:fldCharType="end"/>
            </w:r>
          </w:hyperlink>
        </w:p>
        <w:p w14:paraId="30C3BE1E" w14:textId="2DBB4060" w:rsidR="009B10C3" w:rsidRDefault="009B10C3">
          <w:pPr>
            <w:pStyle w:val="TOC1"/>
            <w:tabs>
              <w:tab w:val="right" w:leader="dot" w:pos="9350"/>
            </w:tabs>
            <w:rPr>
              <w:rFonts w:eastAsiaTheme="minorEastAsia"/>
              <w:noProof/>
              <w:kern w:val="2"/>
              <w14:ligatures w14:val="standardContextual"/>
            </w:rPr>
          </w:pPr>
          <w:hyperlink w:anchor="_Toc199274304" w:history="1">
            <w:r w:rsidRPr="00C32FA4">
              <w:rPr>
                <w:rStyle w:val="Hyperlink"/>
                <w:noProof/>
                <w:lang w:val="es-DO"/>
              </w:rPr>
              <w:t>Datos y metodología</w:t>
            </w:r>
            <w:r>
              <w:rPr>
                <w:noProof/>
                <w:webHidden/>
              </w:rPr>
              <w:tab/>
            </w:r>
            <w:r>
              <w:rPr>
                <w:noProof/>
                <w:webHidden/>
              </w:rPr>
              <w:fldChar w:fldCharType="begin"/>
            </w:r>
            <w:r>
              <w:rPr>
                <w:noProof/>
                <w:webHidden/>
              </w:rPr>
              <w:instrText xml:space="preserve"> PAGEREF _Toc199274304 \h </w:instrText>
            </w:r>
            <w:r>
              <w:rPr>
                <w:noProof/>
                <w:webHidden/>
              </w:rPr>
            </w:r>
            <w:r>
              <w:rPr>
                <w:noProof/>
                <w:webHidden/>
              </w:rPr>
              <w:fldChar w:fldCharType="separate"/>
            </w:r>
            <w:r>
              <w:rPr>
                <w:noProof/>
                <w:webHidden/>
              </w:rPr>
              <w:t>3</w:t>
            </w:r>
            <w:r>
              <w:rPr>
                <w:noProof/>
                <w:webHidden/>
              </w:rPr>
              <w:fldChar w:fldCharType="end"/>
            </w:r>
          </w:hyperlink>
        </w:p>
        <w:p w14:paraId="60614CE7" w14:textId="37F1E3E9" w:rsidR="009B10C3" w:rsidRDefault="009B10C3">
          <w:pPr>
            <w:pStyle w:val="TOC1"/>
            <w:tabs>
              <w:tab w:val="right" w:leader="dot" w:pos="9350"/>
            </w:tabs>
            <w:rPr>
              <w:rFonts w:eastAsiaTheme="minorEastAsia"/>
              <w:noProof/>
              <w:kern w:val="2"/>
              <w14:ligatures w14:val="standardContextual"/>
            </w:rPr>
          </w:pPr>
          <w:hyperlink w:anchor="_Toc199274305" w:history="1">
            <w:r w:rsidRPr="00C32FA4">
              <w:rPr>
                <w:rStyle w:val="Hyperlink"/>
                <w:noProof/>
                <w:lang w:val="es-DO"/>
              </w:rPr>
              <w:t>Resultados</w:t>
            </w:r>
            <w:r>
              <w:rPr>
                <w:noProof/>
                <w:webHidden/>
              </w:rPr>
              <w:tab/>
            </w:r>
            <w:r>
              <w:rPr>
                <w:noProof/>
                <w:webHidden/>
              </w:rPr>
              <w:fldChar w:fldCharType="begin"/>
            </w:r>
            <w:r>
              <w:rPr>
                <w:noProof/>
                <w:webHidden/>
              </w:rPr>
              <w:instrText xml:space="preserve"> PAGEREF _Toc199274305 \h </w:instrText>
            </w:r>
            <w:r>
              <w:rPr>
                <w:noProof/>
                <w:webHidden/>
              </w:rPr>
            </w:r>
            <w:r>
              <w:rPr>
                <w:noProof/>
                <w:webHidden/>
              </w:rPr>
              <w:fldChar w:fldCharType="separate"/>
            </w:r>
            <w:r>
              <w:rPr>
                <w:noProof/>
                <w:webHidden/>
              </w:rPr>
              <w:t>4</w:t>
            </w:r>
            <w:r>
              <w:rPr>
                <w:noProof/>
                <w:webHidden/>
              </w:rPr>
              <w:fldChar w:fldCharType="end"/>
            </w:r>
          </w:hyperlink>
        </w:p>
        <w:p w14:paraId="0FD0291D" w14:textId="648FD1F8" w:rsidR="009B10C3" w:rsidRDefault="009B10C3">
          <w:pPr>
            <w:pStyle w:val="TOC2"/>
            <w:tabs>
              <w:tab w:val="right" w:leader="dot" w:pos="9350"/>
            </w:tabs>
            <w:rPr>
              <w:rFonts w:eastAsiaTheme="minorEastAsia"/>
              <w:noProof/>
              <w:kern w:val="2"/>
              <w14:ligatures w14:val="standardContextual"/>
            </w:rPr>
          </w:pPr>
          <w:hyperlink w:anchor="_Toc199274306" w:history="1">
            <w:r w:rsidRPr="00C32FA4">
              <w:rPr>
                <w:rStyle w:val="Hyperlink"/>
                <w:noProof/>
                <w:lang w:val="es-DO"/>
              </w:rPr>
              <w:t>Análisis descriptivos de las variables</w:t>
            </w:r>
            <w:r>
              <w:rPr>
                <w:noProof/>
                <w:webHidden/>
              </w:rPr>
              <w:tab/>
            </w:r>
            <w:r>
              <w:rPr>
                <w:noProof/>
                <w:webHidden/>
              </w:rPr>
              <w:fldChar w:fldCharType="begin"/>
            </w:r>
            <w:r>
              <w:rPr>
                <w:noProof/>
                <w:webHidden/>
              </w:rPr>
              <w:instrText xml:space="preserve"> PAGEREF _Toc199274306 \h </w:instrText>
            </w:r>
            <w:r>
              <w:rPr>
                <w:noProof/>
                <w:webHidden/>
              </w:rPr>
            </w:r>
            <w:r>
              <w:rPr>
                <w:noProof/>
                <w:webHidden/>
              </w:rPr>
              <w:fldChar w:fldCharType="separate"/>
            </w:r>
            <w:r>
              <w:rPr>
                <w:noProof/>
                <w:webHidden/>
              </w:rPr>
              <w:t>4</w:t>
            </w:r>
            <w:r>
              <w:rPr>
                <w:noProof/>
                <w:webHidden/>
              </w:rPr>
              <w:fldChar w:fldCharType="end"/>
            </w:r>
          </w:hyperlink>
        </w:p>
        <w:p w14:paraId="3FC6064A" w14:textId="7B45B020" w:rsidR="009B10C3" w:rsidRDefault="009B10C3">
          <w:pPr>
            <w:pStyle w:val="TOC3"/>
            <w:tabs>
              <w:tab w:val="right" w:leader="dot" w:pos="9350"/>
            </w:tabs>
            <w:rPr>
              <w:rFonts w:eastAsiaTheme="minorEastAsia"/>
              <w:noProof/>
              <w:kern w:val="2"/>
              <w14:ligatures w14:val="standardContextual"/>
            </w:rPr>
          </w:pPr>
          <w:hyperlink w:anchor="_Toc199274307" w:history="1">
            <w:r w:rsidRPr="00C32FA4">
              <w:rPr>
                <w:rStyle w:val="Hyperlink"/>
                <w:noProof/>
                <w:lang w:val="es-DO"/>
              </w:rPr>
              <w:t>Comportamiento antes del COVID:</w:t>
            </w:r>
            <w:r>
              <w:rPr>
                <w:noProof/>
                <w:webHidden/>
              </w:rPr>
              <w:tab/>
            </w:r>
            <w:r>
              <w:rPr>
                <w:noProof/>
                <w:webHidden/>
              </w:rPr>
              <w:fldChar w:fldCharType="begin"/>
            </w:r>
            <w:r>
              <w:rPr>
                <w:noProof/>
                <w:webHidden/>
              </w:rPr>
              <w:instrText xml:space="preserve"> PAGEREF _Toc199274307 \h </w:instrText>
            </w:r>
            <w:r>
              <w:rPr>
                <w:noProof/>
                <w:webHidden/>
              </w:rPr>
            </w:r>
            <w:r>
              <w:rPr>
                <w:noProof/>
                <w:webHidden/>
              </w:rPr>
              <w:fldChar w:fldCharType="separate"/>
            </w:r>
            <w:r>
              <w:rPr>
                <w:noProof/>
                <w:webHidden/>
              </w:rPr>
              <w:t>4</w:t>
            </w:r>
            <w:r>
              <w:rPr>
                <w:noProof/>
                <w:webHidden/>
              </w:rPr>
              <w:fldChar w:fldCharType="end"/>
            </w:r>
          </w:hyperlink>
        </w:p>
        <w:p w14:paraId="2AEC2D09" w14:textId="559FBE01" w:rsidR="009B10C3" w:rsidRDefault="009B10C3">
          <w:pPr>
            <w:pStyle w:val="TOC3"/>
            <w:tabs>
              <w:tab w:val="right" w:leader="dot" w:pos="9350"/>
            </w:tabs>
            <w:rPr>
              <w:rFonts w:eastAsiaTheme="minorEastAsia"/>
              <w:noProof/>
              <w:kern w:val="2"/>
              <w14:ligatures w14:val="standardContextual"/>
            </w:rPr>
          </w:pPr>
          <w:hyperlink w:anchor="_Toc199274308" w:history="1">
            <w:r w:rsidRPr="00C32FA4">
              <w:rPr>
                <w:rStyle w:val="Hyperlink"/>
                <w:noProof/>
                <w:lang w:val="es-DO"/>
              </w:rPr>
              <w:t>Comportamiento después del covid:</w:t>
            </w:r>
            <w:r>
              <w:rPr>
                <w:noProof/>
                <w:webHidden/>
              </w:rPr>
              <w:tab/>
            </w:r>
            <w:r>
              <w:rPr>
                <w:noProof/>
                <w:webHidden/>
              </w:rPr>
              <w:fldChar w:fldCharType="begin"/>
            </w:r>
            <w:r>
              <w:rPr>
                <w:noProof/>
                <w:webHidden/>
              </w:rPr>
              <w:instrText xml:space="preserve"> PAGEREF _Toc199274308 \h </w:instrText>
            </w:r>
            <w:r>
              <w:rPr>
                <w:noProof/>
                <w:webHidden/>
              </w:rPr>
            </w:r>
            <w:r>
              <w:rPr>
                <w:noProof/>
                <w:webHidden/>
              </w:rPr>
              <w:fldChar w:fldCharType="separate"/>
            </w:r>
            <w:r>
              <w:rPr>
                <w:noProof/>
                <w:webHidden/>
              </w:rPr>
              <w:t>4</w:t>
            </w:r>
            <w:r>
              <w:rPr>
                <w:noProof/>
                <w:webHidden/>
              </w:rPr>
              <w:fldChar w:fldCharType="end"/>
            </w:r>
          </w:hyperlink>
        </w:p>
        <w:p w14:paraId="4188782E" w14:textId="70E825BE" w:rsidR="009B10C3" w:rsidRDefault="009B10C3">
          <w:pPr>
            <w:pStyle w:val="TOC3"/>
            <w:tabs>
              <w:tab w:val="right" w:leader="dot" w:pos="9350"/>
            </w:tabs>
            <w:rPr>
              <w:rFonts w:eastAsiaTheme="minorEastAsia"/>
              <w:noProof/>
              <w:kern w:val="2"/>
              <w14:ligatures w14:val="standardContextual"/>
            </w:rPr>
          </w:pPr>
          <w:hyperlink w:anchor="_Toc199274309" w:history="1">
            <w:r w:rsidRPr="00C32FA4">
              <w:rPr>
                <w:rStyle w:val="Hyperlink"/>
                <w:noProof/>
                <w:lang w:val="es-DO"/>
              </w:rPr>
              <w:t>Correlación</w:t>
            </w:r>
            <w:r>
              <w:rPr>
                <w:noProof/>
                <w:webHidden/>
              </w:rPr>
              <w:tab/>
            </w:r>
            <w:r>
              <w:rPr>
                <w:noProof/>
                <w:webHidden/>
              </w:rPr>
              <w:fldChar w:fldCharType="begin"/>
            </w:r>
            <w:r>
              <w:rPr>
                <w:noProof/>
                <w:webHidden/>
              </w:rPr>
              <w:instrText xml:space="preserve"> PAGEREF _Toc199274309 \h </w:instrText>
            </w:r>
            <w:r>
              <w:rPr>
                <w:noProof/>
                <w:webHidden/>
              </w:rPr>
            </w:r>
            <w:r>
              <w:rPr>
                <w:noProof/>
                <w:webHidden/>
              </w:rPr>
              <w:fldChar w:fldCharType="separate"/>
            </w:r>
            <w:r>
              <w:rPr>
                <w:noProof/>
                <w:webHidden/>
              </w:rPr>
              <w:t>5</w:t>
            </w:r>
            <w:r>
              <w:rPr>
                <w:noProof/>
                <w:webHidden/>
              </w:rPr>
              <w:fldChar w:fldCharType="end"/>
            </w:r>
          </w:hyperlink>
        </w:p>
        <w:p w14:paraId="2B77423F" w14:textId="26563F41" w:rsidR="009B10C3" w:rsidRDefault="009B10C3">
          <w:pPr>
            <w:pStyle w:val="TOC1"/>
            <w:tabs>
              <w:tab w:val="right" w:leader="dot" w:pos="9350"/>
            </w:tabs>
            <w:rPr>
              <w:rFonts w:eastAsiaTheme="minorEastAsia"/>
              <w:noProof/>
              <w:kern w:val="2"/>
              <w14:ligatures w14:val="standardContextual"/>
            </w:rPr>
          </w:pPr>
          <w:hyperlink w:anchor="_Toc199274310" w:history="1">
            <w:r w:rsidRPr="00C32FA4">
              <w:rPr>
                <w:rStyle w:val="Hyperlink"/>
                <w:noProof/>
                <w:lang w:val="es-DO"/>
              </w:rPr>
              <w:t>Conclusión</w:t>
            </w:r>
            <w:r>
              <w:rPr>
                <w:noProof/>
                <w:webHidden/>
              </w:rPr>
              <w:tab/>
            </w:r>
            <w:r>
              <w:rPr>
                <w:noProof/>
                <w:webHidden/>
              </w:rPr>
              <w:fldChar w:fldCharType="begin"/>
            </w:r>
            <w:r>
              <w:rPr>
                <w:noProof/>
                <w:webHidden/>
              </w:rPr>
              <w:instrText xml:space="preserve"> PAGEREF _Toc199274310 \h </w:instrText>
            </w:r>
            <w:r>
              <w:rPr>
                <w:noProof/>
                <w:webHidden/>
              </w:rPr>
            </w:r>
            <w:r>
              <w:rPr>
                <w:noProof/>
                <w:webHidden/>
              </w:rPr>
              <w:fldChar w:fldCharType="separate"/>
            </w:r>
            <w:r>
              <w:rPr>
                <w:noProof/>
                <w:webHidden/>
              </w:rPr>
              <w:t>6</w:t>
            </w:r>
            <w:r>
              <w:rPr>
                <w:noProof/>
                <w:webHidden/>
              </w:rPr>
              <w:fldChar w:fldCharType="end"/>
            </w:r>
          </w:hyperlink>
        </w:p>
        <w:p w14:paraId="193533F2" w14:textId="39F72E79" w:rsidR="009B10C3" w:rsidRDefault="009B10C3">
          <w:pPr>
            <w:pStyle w:val="TOC1"/>
            <w:tabs>
              <w:tab w:val="right" w:leader="dot" w:pos="9350"/>
            </w:tabs>
            <w:rPr>
              <w:rFonts w:eastAsiaTheme="minorEastAsia"/>
              <w:noProof/>
              <w:kern w:val="2"/>
              <w14:ligatures w14:val="standardContextual"/>
            </w:rPr>
          </w:pPr>
          <w:hyperlink w:anchor="_Toc199274311" w:history="1">
            <w:r w:rsidRPr="00C32FA4">
              <w:rPr>
                <w:rStyle w:val="Hyperlink"/>
                <w:noProof/>
                <w:lang w:val="es-DO"/>
              </w:rPr>
              <w:t>Reflexión sobre Escritura Económica</w:t>
            </w:r>
            <w:r>
              <w:rPr>
                <w:noProof/>
                <w:webHidden/>
              </w:rPr>
              <w:tab/>
            </w:r>
            <w:r>
              <w:rPr>
                <w:noProof/>
                <w:webHidden/>
              </w:rPr>
              <w:fldChar w:fldCharType="begin"/>
            </w:r>
            <w:r>
              <w:rPr>
                <w:noProof/>
                <w:webHidden/>
              </w:rPr>
              <w:instrText xml:space="preserve"> PAGEREF _Toc199274311 \h </w:instrText>
            </w:r>
            <w:r>
              <w:rPr>
                <w:noProof/>
                <w:webHidden/>
              </w:rPr>
            </w:r>
            <w:r>
              <w:rPr>
                <w:noProof/>
                <w:webHidden/>
              </w:rPr>
              <w:fldChar w:fldCharType="separate"/>
            </w:r>
            <w:r>
              <w:rPr>
                <w:noProof/>
                <w:webHidden/>
              </w:rPr>
              <w:t>7</w:t>
            </w:r>
            <w:r>
              <w:rPr>
                <w:noProof/>
                <w:webHidden/>
              </w:rPr>
              <w:fldChar w:fldCharType="end"/>
            </w:r>
          </w:hyperlink>
        </w:p>
        <w:p w14:paraId="46C1EC95" w14:textId="29168236" w:rsidR="00E42D5E" w:rsidRPr="003240E1" w:rsidRDefault="00000000" w:rsidP="003240E1">
          <w:pPr>
            <w:jc w:val="both"/>
            <w:rPr>
              <w:lang w:val="es-DO"/>
            </w:rPr>
          </w:pPr>
          <w:r w:rsidRPr="003240E1">
            <w:rPr>
              <w:lang w:val="es-DO"/>
            </w:rPr>
            <w:fldChar w:fldCharType="end"/>
          </w:r>
        </w:p>
      </w:sdtContent>
    </w:sdt>
    <w:p w14:paraId="189DE507" w14:textId="77777777" w:rsidR="00E42D5E" w:rsidRPr="003240E1" w:rsidRDefault="00000000" w:rsidP="003240E1">
      <w:pPr>
        <w:jc w:val="both"/>
        <w:rPr>
          <w:lang w:val="es-DO"/>
        </w:rPr>
      </w:pPr>
      <w:r w:rsidRPr="003240E1">
        <w:rPr>
          <w:lang w:val="es-DO"/>
        </w:rPr>
        <w:br w:type="page"/>
      </w:r>
    </w:p>
    <w:p w14:paraId="4DC7E023" w14:textId="77777777" w:rsidR="00E42D5E" w:rsidRPr="003240E1" w:rsidRDefault="00000000" w:rsidP="003240E1">
      <w:pPr>
        <w:pStyle w:val="Heading1"/>
        <w:jc w:val="both"/>
        <w:rPr>
          <w:lang w:val="es-DO"/>
        </w:rPr>
      </w:pPr>
      <w:bookmarkStart w:id="2" w:name="introducción"/>
      <w:bookmarkStart w:id="3" w:name="_Toc199274303"/>
      <w:r w:rsidRPr="003240E1">
        <w:rPr>
          <w:lang w:val="es-DO"/>
        </w:rPr>
        <w:lastRenderedPageBreak/>
        <w:t>Introducción</w:t>
      </w:r>
      <w:bookmarkEnd w:id="3"/>
    </w:p>
    <w:p w14:paraId="07EE73B0" w14:textId="77777777" w:rsidR="00E42D5E" w:rsidRPr="003240E1" w:rsidRDefault="00000000" w:rsidP="003240E1">
      <w:pPr>
        <w:pStyle w:val="FirstParagraph"/>
        <w:jc w:val="both"/>
        <w:rPr>
          <w:lang w:val="es-DO"/>
        </w:rPr>
      </w:pPr>
      <w:r w:rsidRPr="003240E1">
        <w:rPr>
          <w:lang w:val="es-DO"/>
        </w:rPr>
        <w:t>Este ejercicio tiene como objetivo analizar la evolución del sistema de pagos electrónicos en República Dominicana, centrándose en las transformaciones estructurales observadas durante el período 2008-2024. Las variables seleccionadas para el análisis incluyen el volumen de transacciones con instrumentos de pago electrónicos, las transferencias electrónicas, la tasa pasiva interbancaria y el PIB nominal.</w:t>
      </w:r>
    </w:p>
    <w:p w14:paraId="61D8D9AA" w14:textId="77777777" w:rsidR="00E42D5E" w:rsidRPr="003240E1" w:rsidRDefault="00000000" w:rsidP="003240E1">
      <w:pPr>
        <w:pStyle w:val="BodyText"/>
        <w:jc w:val="both"/>
        <w:rPr>
          <w:lang w:val="es-DO"/>
        </w:rPr>
      </w:pPr>
      <w:r w:rsidRPr="003240E1">
        <w:rPr>
          <w:lang w:val="es-DO"/>
        </w:rPr>
        <w:t>La relevancia económica de estas variables radica en su capacidad para reflejar el grado de bancarización, digitalización financiera y modernización del sistema de pagos dominicano. Las transferencias electrónicas constituyen un indicador crucial para los hacedores de política monetaria, dado su papel en la transmisión de la política monetaria y su impacto en la velocidad de circulación del dinero.</w:t>
      </w:r>
    </w:p>
    <w:p w14:paraId="57232779" w14:textId="77777777" w:rsidR="00E42D5E" w:rsidRPr="003240E1" w:rsidRDefault="00000000" w:rsidP="003240E1">
      <w:pPr>
        <w:pStyle w:val="BodyText"/>
        <w:jc w:val="both"/>
        <w:rPr>
          <w:lang w:val="es-DO"/>
        </w:rPr>
      </w:pPr>
      <w:r w:rsidRPr="003240E1">
        <w:rPr>
          <w:lang w:val="es-DO"/>
        </w:rPr>
        <w:t>La hipótesis exploratoria que guía este análisis sugiere que la pandemia de COVID-19 aceleró significativamente la adopción de medios de pago electrónicos en República Dominicana, generando un cambio estructural en los patrones de consumo y las preferencias de pago de la población.</w:t>
      </w:r>
    </w:p>
    <w:p w14:paraId="7AAE2931" w14:textId="77777777" w:rsidR="00E42D5E" w:rsidRPr="003240E1" w:rsidRDefault="00000000" w:rsidP="003240E1">
      <w:pPr>
        <w:pStyle w:val="Heading1"/>
        <w:jc w:val="both"/>
        <w:rPr>
          <w:lang w:val="es-DO"/>
        </w:rPr>
      </w:pPr>
      <w:bookmarkStart w:id="4" w:name="datos-y-metodología"/>
      <w:bookmarkStart w:id="5" w:name="_Toc199274304"/>
      <w:bookmarkEnd w:id="2"/>
      <w:r w:rsidRPr="003240E1">
        <w:rPr>
          <w:lang w:val="es-DO"/>
        </w:rPr>
        <w:t>Datos y metodología</w:t>
      </w:r>
      <w:bookmarkEnd w:id="5"/>
    </w:p>
    <w:p w14:paraId="066F2DA6" w14:textId="320D551B" w:rsidR="00E42D5E" w:rsidRPr="003240E1" w:rsidRDefault="003240E1" w:rsidP="003240E1">
      <w:pPr>
        <w:pStyle w:val="FirstParagraph"/>
        <w:jc w:val="both"/>
        <w:rPr>
          <w:lang w:val="es-DO"/>
        </w:rPr>
      </w:pPr>
      <w:r w:rsidRPr="003240E1">
        <w:rPr>
          <w:lang w:val="es-DO"/>
        </w:rPr>
        <w:t xml:space="preserve">Los </w:t>
      </w:r>
      <w:r w:rsidR="0082781E" w:rsidRPr="003240E1">
        <w:rPr>
          <w:lang w:val="es-DO"/>
        </w:rPr>
        <w:t>datos utilizados</w:t>
      </w:r>
      <w:r w:rsidR="00000000" w:rsidRPr="003240E1">
        <w:rPr>
          <w:lang w:val="es-DO"/>
        </w:rPr>
        <w:t xml:space="preserve"> proviene</w:t>
      </w:r>
      <w:r w:rsidR="0082781E">
        <w:rPr>
          <w:lang w:val="es-DO"/>
        </w:rPr>
        <w:t>n</w:t>
      </w:r>
      <w:r w:rsidR="00000000" w:rsidRPr="003240E1">
        <w:rPr>
          <w:lang w:val="es-DO"/>
        </w:rPr>
        <w:t xml:space="preserve"> del Banco Central de República Dominicana (BCRD) y comprende 17 observaciones anuales correspondientes al período 2008-2024. La unidad de análisis son las transacciones agregadas a nivel nacional con frecuencia anual, permitiendo capturar tanto tendencias de largo plazo como cambios estructurales significativos.</w:t>
      </w:r>
    </w:p>
    <w:p w14:paraId="7236DBB2" w14:textId="3BA54589" w:rsidR="00E42D5E" w:rsidRPr="003240E1" w:rsidRDefault="00000000" w:rsidP="003240E1">
      <w:pPr>
        <w:pStyle w:val="BodyText"/>
        <w:jc w:val="both"/>
        <w:rPr>
          <w:lang w:val="es-DO"/>
        </w:rPr>
      </w:pPr>
      <w:r w:rsidRPr="003240E1">
        <w:rPr>
          <w:lang w:val="es-DO"/>
        </w:rPr>
        <w:t>Las variables analizadas incluyen el volumen de transacciones con instrumentos de pago electrónicos (expresado en unidades), las transferencias electrónicas (en unidades), la tasa pasiva interbancaria (como porcentaje) y el PIB nominal (en millones de pesos dominicanos). Para el análisis exploratorio de datos se emplearon herramientas estadísticas descriptivas, análisis de correlación y visualización gráfica temporal.</w:t>
      </w:r>
    </w:p>
    <w:p w14:paraId="3D9723D1" w14:textId="77777777" w:rsidR="00E42D5E" w:rsidRPr="003240E1" w:rsidRDefault="00000000" w:rsidP="003240E1">
      <w:pPr>
        <w:pStyle w:val="BodyText"/>
        <w:jc w:val="both"/>
        <w:rPr>
          <w:lang w:val="es-DO"/>
        </w:rPr>
      </w:pPr>
      <w:r w:rsidRPr="003240E1">
        <w:rPr>
          <w:lang w:val="es-DO"/>
        </w:rPr>
        <w:t xml:space="preserve">La metodología incluyó la segmentación del período en dos </w:t>
      </w:r>
      <w:proofErr w:type="spellStart"/>
      <w:r w:rsidRPr="003240E1">
        <w:rPr>
          <w:lang w:val="es-DO"/>
        </w:rPr>
        <w:t>sub-muestras</w:t>
      </w:r>
      <w:proofErr w:type="spellEnd"/>
      <w:r w:rsidRPr="003240E1">
        <w:rPr>
          <w:lang w:val="es-DO"/>
        </w:rPr>
        <w:t>: pre-COVID (2008-2019) y post-COVID (2020-2024), permitiendo identificar cambios en los patrones estadísticos y evaluar el impacto de la pandemia en el comportamiento de las variables financieras.</w:t>
      </w:r>
    </w:p>
    <w:p w14:paraId="383C14F2" w14:textId="77777777" w:rsidR="003240E1" w:rsidRPr="003240E1" w:rsidRDefault="003240E1" w:rsidP="003240E1">
      <w:pPr>
        <w:pStyle w:val="BodyText"/>
        <w:jc w:val="both"/>
        <w:rPr>
          <w:lang w:val="es-DO"/>
        </w:rPr>
      </w:pPr>
    </w:p>
    <w:p w14:paraId="6A45CEFB" w14:textId="77777777" w:rsidR="00E42D5E" w:rsidRPr="003240E1" w:rsidRDefault="00000000" w:rsidP="003240E1">
      <w:pPr>
        <w:pStyle w:val="Heading1"/>
        <w:jc w:val="both"/>
        <w:rPr>
          <w:lang w:val="es-DO"/>
        </w:rPr>
      </w:pPr>
      <w:bookmarkStart w:id="6" w:name="resultados"/>
      <w:bookmarkStart w:id="7" w:name="_Toc199274305"/>
      <w:bookmarkEnd w:id="4"/>
      <w:r w:rsidRPr="003240E1">
        <w:rPr>
          <w:lang w:val="es-DO"/>
        </w:rPr>
        <w:lastRenderedPageBreak/>
        <w:t>Resultados</w:t>
      </w:r>
      <w:bookmarkEnd w:id="7"/>
    </w:p>
    <w:p w14:paraId="13226D05" w14:textId="77777777" w:rsidR="00E42D5E" w:rsidRPr="003240E1" w:rsidRDefault="00000000" w:rsidP="003240E1">
      <w:pPr>
        <w:pStyle w:val="Heading2"/>
        <w:jc w:val="both"/>
        <w:rPr>
          <w:lang w:val="es-DO"/>
        </w:rPr>
      </w:pPr>
      <w:bookmarkStart w:id="8" w:name="análisis-descriptivos-de-las-variables"/>
      <w:bookmarkStart w:id="9" w:name="_Toc199274306"/>
      <w:r w:rsidRPr="003240E1">
        <w:rPr>
          <w:lang w:val="es-DO"/>
        </w:rPr>
        <w:t>Análisis descriptivos de las variables</w:t>
      </w:r>
      <w:bookmarkEnd w:id="9"/>
    </w:p>
    <w:p w14:paraId="2ABD19A2" w14:textId="77777777" w:rsidR="00E42D5E" w:rsidRPr="003240E1" w:rsidRDefault="00000000" w:rsidP="003240E1">
      <w:pPr>
        <w:pStyle w:val="FirstParagraph"/>
        <w:jc w:val="both"/>
        <w:rPr>
          <w:lang w:val="es-DO"/>
        </w:rPr>
      </w:pPr>
      <w:r w:rsidRPr="003240E1">
        <w:rPr>
          <w:lang w:val="es-DO"/>
        </w:rPr>
        <w:t>Los estadísticos descriptivos revelan transformaciones dramáticas en el sistema de pagos dominicano. Durante el período pre-COVID, los instrumentos de pago electrónicos registraron un promedio de 306.9 millones de transacciones anuales, mientras que en el período post-COVID esta cifra se elevó a 741.6 millones, representando un incremento del 141 %. De manera más pronunciada, las transferencias electrónicas aumentaron de un promedio de 53.1 millones en el período pre-COVID a 206.9 millones en el post-COVID, equivalente a un crecimiento del 290 %.</w:t>
      </w:r>
    </w:p>
    <w:p w14:paraId="338D13E6" w14:textId="07BAA11F" w:rsidR="00E42D5E" w:rsidRPr="003240E1" w:rsidRDefault="00000000" w:rsidP="003240E1">
      <w:pPr>
        <w:pStyle w:val="Heading3"/>
        <w:jc w:val="both"/>
        <w:rPr>
          <w:lang w:val="es-DO"/>
        </w:rPr>
      </w:pPr>
      <w:bookmarkStart w:id="10" w:name="comportamiento-antes-del-covid"/>
      <w:bookmarkStart w:id="11" w:name="_Toc199274307"/>
      <w:r w:rsidRPr="003240E1">
        <w:rPr>
          <w:lang w:val="es-DO"/>
        </w:rPr>
        <w:t xml:space="preserve">Comportamiento antes del </w:t>
      </w:r>
      <w:r w:rsidR="003240E1" w:rsidRPr="003240E1">
        <w:rPr>
          <w:lang w:val="es-DO"/>
        </w:rPr>
        <w:t>COVID</w:t>
      </w:r>
      <w:r w:rsidRPr="003240E1">
        <w:rPr>
          <w:lang w:val="es-DO"/>
        </w:rPr>
        <w:t>:</w:t>
      </w:r>
      <w:bookmarkEnd w:id="11"/>
    </w:p>
    <w:p w14:paraId="4641334C" w14:textId="77777777" w:rsidR="00E42D5E" w:rsidRPr="003240E1" w:rsidRDefault="00000000" w:rsidP="003240E1">
      <w:pPr>
        <w:keepNext/>
        <w:spacing w:after="60"/>
        <w:jc w:val="center"/>
        <w:rPr>
          <w:lang w:val="es-DO"/>
        </w:rPr>
      </w:pPr>
      <w:r w:rsidRPr="003240E1">
        <w:rPr>
          <w:rFonts w:ascii="Calibri" w:hAnsi="Calibri"/>
          <w:lang w:val="es-DO"/>
        </w:rPr>
        <w:t xml:space="preserve">Table </w:t>
      </w:r>
      <w:r w:rsidRPr="003240E1">
        <w:rPr>
          <w:lang w:val="es-DO"/>
        </w:rPr>
        <w:fldChar w:fldCharType="begin"/>
      </w:r>
      <w:r w:rsidRPr="003240E1">
        <w:rPr>
          <w:lang w:val="es-DO"/>
        </w:rPr>
        <w:instrText xml:space="preserve"> SEQ Table \* ARABIC </w:instrText>
      </w:r>
      <w:r w:rsidRPr="003240E1">
        <w:rPr>
          <w:lang w:val="es-DO"/>
        </w:rPr>
        <w:fldChar w:fldCharType="separate"/>
      </w:r>
      <w:r w:rsidR="003240E1" w:rsidRPr="003240E1">
        <w:rPr>
          <w:noProof/>
          <w:lang w:val="es-DO"/>
        </w:rPr>
        <w:t>1</w:t>
      </w:r>
      <w:r w:rsidRPr="003240E1">
        <w:rPr>
          <w:lang w:val="es-DO"/>
        </w:rPr>
        <w:fldChar w:fldCharType="end"/>
      </w:r>
      <w:r w:rsidRPr="003240E1">
        <w:rPr>
          <w:rFonts w:ascii="Calibri" w:hAnsi="Calibri"/>
          <w:lang w:val="es-DO"/>
        </w:rPr>
        <w:t xml:space="preserve">: </w:t>
      </w:r>
      <w:r w:rsidRPr="003240E1">
        <w:rPr>
          <w:rFonts w:ascii="Calibri" w:hAnsi="Calibri"/>
          <w:color w:val="333333"/>
          <w:lang w:val="es-DO"/>
        </w:rPr>
        <w:t>Estadísticos descriptivos</w:t>
      </w:r>
    </w:p>
    <w:p w14:paraId="4E59D528" w14:textId="77777777" w:rsidR="00E42D5E" w:rsidRPr="003240E1" w:rsidRDefault="00000000" w:rsidP="003240E1">
      <w:pPr>
        <w:keepNext/>
        <w:spacing w:after="60"/>
        <w:jc w:val="center"/>
        <w:rPr>
          <w:lang w:val="es-DO"/>
        </w:rPr>
      </w:pPr>
      <w:r w:rsidRPr="003240E1">
        <w:rPr>
          <w:rFonts w:ascii="Calibri" w:hAnsi="Calibri"/>
          <w:color w:val="333333"/>
          <w:sz w:val="20"/>
          <w:lang w:val="es-DO"/>
        </w:rPr>
        <w:t>Antes-</w:t>
      </w:r>
      <w:proofErr w:type="spellStart"/>
      <w:r w:rsidRPr="003240E1">
        <w:rPr>
          <w:rFonts w:ascii="Calibri" w:hAnsi="Calibri"/>
          <w:color w:val="333333"/>
          <w:sz w:val="20"/>
          <w:lang w:val="es-DO"/>
        </w:rPr>
        <w:t>covid</w:t>
      </w:r>
      <w:proofErr w:type="spellEnd"/>
      <w:r w:rsidRPr="003240E1">
        <w:rPr>
          <w:rFonts w:ascii="Calibri" w:hAnsi="Calibri"/>
          <w:color w:val="333333"/>
          <w:sz w:val="20"/>
          <w:lang w:val="es-DO"/>
        </w:rPr>
        <w:t xml:space="preserve"> (2008-2019)</w:t>
      </w:r>
    </w:p>
    <w:tbl>
      <w:tblPr>
        <w:tblStyle w:val="Table"/>
        <w:tblW w:w="0" w:type="auto"/>
        <w:jc w:val="center"/>
        <w:tblCellMar>
          <w:left w:w="60" w:type="dxa"/>
          <w:right w:w="60" w:type="dxa"/>
        </w:tblCellMar>
        <w:tblLook w:val="0000" w:firstRow="0" w:lastRow="0" w:firstColumn="0" w:lastColumn="0" w:noHBand="0" w:noVBand="0"/>
      </w:tblPr>
      <w:tblGrid>
        <w:gridCol w:w="850"/>
        <w:gridCol w:w="1284"/>
        <w:gridCol w:w="1284"/>
        <w:gridCol w:w="475"/>
        <w:gridCol w:w="1082"/>
      </w:tblGrid>
      <w:tr w:rsidR="00E42D5E" w:rsidRPr="003240E1" w14:paraId="2EC04612" w14:textId="77777777" w:rsidTr="00E42D5E">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6753449C" w14:textId="77777777" w:rsidR="00E42D5E" w:rsidRPr="003240E1" w:rsidRDefault="00E42D5E" w:rsidP="003240E1">
            <w:pPr>
              <w:keepNext/>
              <w:spacing w:after="60"/>
              <w:jc w:val="both"/>
              <w:rPr>
                <w:lang w:val="es-DO"/>
              </w:rPr>
            </w:pPr>
          </w:p>
        </w:tc>
        <w:tc>
          <w:tcPr>
            <w:tcW w:w="0" w:type="auto"/>
            <w:tcBorders>
              <w:top w:val="single" w:sz="16" w:space="0" w:color="D3D3D3"/>
              <w:left w:val="single" w:sz="0" w:space="0" w:color="D3D3D3"/>
              <w:bottom w:val="single" w:sz="16" w:space="0" w:color="D3D3D3"/>
            </w:tcBorders>
          </w:tcPr>
          <w:p w14:paraId="007BEFCA" w14:textId="77777777" w:rsidR="00E42D5E" w:rsidRPr="003240E1" w:rsidRDefault="00000000" w:rsidP="003240E1">
            <w:pPr>
              <w:keepNext/>
              <w:spacing w:after="60"/>
              <w:jc w:val="both"/>
              <w:rPr>
                <w:lang w:val="es-DO"/>
              </w:rPr>
            </w:pPr>
            <w:r w:rsidRPr="003240E1">
              <w:rPr>
                <w:rFonts w:ascii="Calibri" w:hAnsi="Calibri"/>
                <w:sz w:val="20"/>
                <w:lang w:val="es-DO"/>
              </w:rPr>
              <w:t>instrumentos</w:t>
            </w:r>
          </w:p>
        </w:tc>
        <w:tc>
          <w:tcPr>
            <w:tcW w:w="0" w:type="auto"/>
            <w:tcBorders>
              <w:top w:val="single" w:sz="16" w:space="0" w:color="D3D3D3"/>
              <w:bottom w:val="single" w:sz="16" w:space="0" w:color="D3D3D3"/>
            </w:tcBorders>
          </w:tcPr>
          <w:p w14:paraId="2DAAC711" w14:textId="25C04ED7" w:rsidR="00E42D5E" w:rsidRPr="003240E1" w:rsidRDefault="003240E1" w:rsidP="003240E1">
            <w:pPr>
              <w:keepNext/>
              <w:spacing w:after="60"/>
              <w:jc w:val="both"/>
              <w:rPr>
                <w:lang w:val="es-DO"/>
              </w:rPr>
            </w:pPr>
            <w:r w:rsidRPr="003240E1">
              <w:rPr>
                <w:rFonts w:ascii="Calibri" w:hAnsi="Calibri"/>
                <w:sz w:val="20"/>
                <w:lang w:val="es-DO"/>
              </w:rPr>
              <w:t>electrónicas</w:t>
            </w:r>
          </w:p>
        </w:tc>
        <w:tc>
          <w:tcPr>
            <w:tcW w:w="0" w:type="auto"/>
            <w:tcBorders>
              <w:top w:val="single" w:sz="16" w:space="0" w:color="D3D3D3"/>
              <w:bottom w:val="single" w:sz="16" w:space="0" w:color="D3D3D3"/>
            </w:tcBorders>
          </w:tcPr>
          <w:p w14:paraId="0BA390E0" w14:textId="7786E96F" w:rsidR="00E42D5E" w:rsidRPr="003240E1" w:rsidRDefault="003240E1" w:rsidP="003240E1">
            <w:pPr>
              <w:keepNext/>
              <w:spacing w:after="60"/>
              <w:jc w:val="both"/>
              <w:rPr>
                <w:lang w:val="es-DO"/>
              </w:rPr>
            </w:pPr>
            <w:proofErr w:type="spellStart"/>
            <w:r w:rsidRPr="003240E1">
              <w:rPr>
                <w:rFonts w:ascii="Calibri" w:hAnsi="Calibri"/>
                <w:sz w:val="20"/>
                <w:lang w:val="es-DO"/>
              </w:rPr>
              <w:t>t</w:t>
            </w:r>
            <w:r w:rsidR="00000000" w:rsidRPr="003240E1">
              <w:rPr>
                <w:rFonts w:ascii="Calibri" w:hAnsi="Calibri"/>
                <w:sz w:val="20"/>
                <w:lang w:val="es-DO"/>
              </w:rPr>
              <w:t>p</w:t>
            </w:r>
            <w:proofErr w:type="spellEnd"/>
          </w:p>
        </w:tc>
        <w:tc>
          <w:tcPr>
            <w:tcW w:w="0" w:type="auto"/>
            <w:tcBorders>
              <w:top w:val="single" w:sz="16" w:space="0" w:color="D3D3D3"/>
              <w:bottom w:val="single" w:sz="16" w:space="0" w:color="D3D3D3"/>
              <w:right w:val="single" w:sz="0" w:space="0" w:color="D3D3D3"/>
            </w:tcBorders>
          </w:tcPr>
          <w:p w14:paraId="1CF99B1C" w14:textId="77777777" w:rsidR="00E42D5E" w:rsidRPr="003240E1" w:rsidRDefault="00000000" w:rsidP="003240E1">
            <w:pPr>
              <w:keepNext/>
              <w:spacing w:after="60"/>
              <w:jc w:val="both"/>
              <w:rPr>
                <w:lang w:val="es-DO"/>
              </w:rPr>
            </w:pPr>
            <w:r w:rsidRPr="003240E1">
              <w:rPr>
                <w:rFonts w:ascii="Calibri" w:hAnsi="Calibri"/>
                <w:sz w:val="20"/>
                <w:lang w:val="es-DO"/>
              </w:rPr>
              <w:t>pib</w:t>
            </w:r>
          </w:p>
        </w:tc>
      </w:tr>
      <w:tr w:rsidR="00E42D5E" w:rsidRPr="003240E1" w14:paraId="51F4206F" w14:textId="77777777" w:rsidTr="00E42D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4CE7E9" w14:textId="77777777" w:rsidR="00E42D5E" w:rsidRPr="003240E1" w:rsidRDefault="00000000" w:rsidP="003240E1">
            <w:pPr>
              <w:keepNext/>
              <w:spacing w:after="60"/>
              <w:jc w:val="both"/>
              <w:rPr>
                <w:lang w:val="es-DO"/>
              </w:rPr>
            </w:pPr>
            <w:r w:rsidRPr="003240E1">
              <w:rPr>
                <w:rFonts w:ascii="Calibri" w:hAnsi="Calibri"/>
                <w:sz w:val="20"/>
                <w:lang w:val="es-DO"/>
              </w:rPr>
              <w:t>Media</w:t>
            </w:r>
          </w:p>
        </w:tc>
        <w:tc>
          <w:tcPr>
            <w:tcW w:w="0" w:type="auto"/>
            <w:tcBorders>
              <w:top w:val="single" w:sz="0" w:space="0" w:color="D3D3D3"/>
              <w:left w:val="single" w:sz="0" w:space="0" w:color="D3D3D3"/>
              <w:bottom w:val="single" w:sz="0" w:space="0" w:color="D3D3D3"/>
              <w:right w:val="single" w:sz="0" w:space="0" w:color="D3D3D3"/>
            </w:tcBorders>
          </w:tcPr>
          <w:p w14:paraId="1E699CCB" w14:textId="77777777" w:rsidR="00E42D5E" w:rsidRPr="003240E1" w:rsidRDefault="00000000" w:rsidP="003240E1">
            <w:pPr>
              <w:keepNext/>
              <w:spacing w:after="60"/>
              <w:jc w:val="both"/>
              <w:rPr>
                <w:lang w:val="es-DO"/>
              </w:rPr>
            </w:pPr>
            <w:r w:rsidRPr="003240E1">
              <w:rPr>
                <w:rFonts w:ascii="Calibri" w:hAnsi="Calibri"/>
                <w:sz w:val="20"/>
                <w:lang w:val="es-DO"/>
              </w:rPr>
              <w:t>306,862,353.7</w:t>
            </w:r>
          </w:p>
        </w:tc>
        <w:tc>
          <w:tcPr>
            <w:tcW w:w="0" w:type="auto"/>
            <w:tcBorders>
              <w:top w:val="single" w:sz="0" w:space="0" w:color="D3D3D3"/>
              <w:left w:val="single" w:sz="0" w:space="0" w:color="D3D3D3"/>
              <w:bottom w:val="single" w:sz="0" w:space="0" w:color="D3D3D3"/>
              <w:right w:val="single" w:sz="0" w:space="0" w:color="D3D3D3"/>
            </w:tcBorders>
          </w:tcPr>
          <w:p w14:paraId="54B0C9FC" w14:textId="77777777" w:rsidR="00E42D5E" w:rsidRPr="003240E1" w:rsidRDefault="00000000" w:rsidP="003240E1">
            <w:pPr>
              <w:keepNext/>
              <w:spacing w:after="60"/>
              <w:jc w:val="both"/>
              <w:rPr>
                <w:lang w:val="es-DO"/>
              </w:rPr>
            </w:pPr>
            <w:r w:rsidRPr="003240E1">
              <w:rPr>
                <w:rFonts w:ascii="Calibri" w:hAnsi="Calibri"/>
                <w:sz w:val="20"/>
                <w:lang w:val="es-DO"/>
              </w:rPr>
              <w:t>53,087,818.6</w:t>
            </w:r>
          </w:p>
        </w:tc>
        <w:tc>
          <w:tcPr>
            <w:tcW w:w="0" w:type="auto"/>
            <w:tcBorders>
              <w:top w:val="single" w:sz="0" w:space="0" w:color="D3D3D3"/>
              <w:left w:val="single" w:sz="0" w:space="0" w:color="D3D3D3"/>
              <w:bottom w:val="single" w:sz="0" w:space="0" w:color="D3D3D3"/>
              <w:right w:val="single" w:sz="0" w:space="0" w:color="D3D3D3"/>
            </w:tcBorders>
          </w:tcPr>
          <w:p w14:paraId="1D41AD84" w14:textId="77777777" w:rsidR="00E42D5E" w:rsidRPr="003240E1" w:rsidRDefault="00000000" w:rsidP="003240E1">
            <w:pPr>
              <w:keepNext/>
              <w:spacing w:after="60"/>
              <w:jc w:val="both"/>
              <w:rPr>
                <w:lang w:val="es-DO"/>
              </w:rPr>
            </w:pPr>
            <w:r w:rsidRPr="003240E1">
              <w:rPr>
                <w:rFonts w:ascii="Calibri" w:hAnsi="Calibri"/>
                <w:sz w:val="20"/>
                <w:lang w:val="es-DO"/>
              </w:rPr>
              <w:t>7.3</w:t>
            </w:r>
          </w:p>
        </w:tc>
        <w:tc>
          <w:tcPr>
            <w:tcW w:w="0" w:type="auto"/>
            <w:tcBorders>
              <w:top w:val="single" w:sz="0" w:space="0" w:color="D3D3D3"/>
              <w:left w:val="single" w:sz="0" w:space="0" w:color="D3D3D3"/>
              <w:bottom w:val="single" w:sz="0" w:space="0" w:color="D3D3D3"/>
              <w:right w:val="single" w:sz="0" w:space="0" w:color="D3D3D3"/>
            </w:tcBorders>
          </w:tcPr>
          <w:p w14:paraId="7BAA5E64" w14:textId="77777777" w:rsidR="00E42D5E" w:rsidRPr="003240E1" w:rsidRDefault="00000000" w:rsidP="003240E1">
            <w:pPr>
              <w:keepNext/>
              <w:spacing w:after="60"/>
              <w:jc w:val="both"/>
              <w:rPr>
                <w:lang w:val="es-DO"/>
              </w:rPr>
            </w:pPr>
            <w:r w:rsidRPr="003240E1">
              <w:rPr>
                <w:rFonts w:ascii="Calibri" w:hAnsi="Calibri"/>
                <w:sz w:val="20"/>
                <w:lang w:val="es-DO"/>
              </w:rPr>
              <w:t>2,901,353.0</w:t>
            </w:r>
          </w:p>
        </w:tc>
      </w:tr>
      <w:tr w:rsidR="00E42D5E" w:rsidRPr="003240E1" w14:paraId="2B82261C" w14:textId="77777777" w:rsidTr="00E42D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8D10C7" w14:textId="77777777" w:rsidR="00E42D5E" w:rsidRPr="003240E1" w:rsidRDefault="00000000" w:rsidP="003240E1">
            <w:pPr>
              <w:keepNext/>
              <w:spacing w:after="60"/>
              <w:jc w:val="both"/>
              <w:rPr>
                <w:lang w:val="es-DO"/>
              </w:rPr>
            </w:pPr>
            <w:r w:rsidRPr="003240E1">
              <w:rPr>
                <w:rFonts w:ascii="Calibri" w:hAnsi="Calibri"/>
                <w:sz w:val="20"/>
                <w:lang w:val="es-DO"/>
              </w:rPr>
              <w:t>Mediana</w:t>
            </w:r>
          </w:p>
        </w:tc>
        <w:tc>
          <w:tcPr>
            <w:tcW w:w="0" w:type="auto"/>
            <w:tcBorders>
              <w:top w:val="single" w:sz="0" w:space="0" w:color="D3D3D3"/>
              <w:left w:val="single" w:sz="0" w:space="0" w:color="D3D3D3"/>
              <w:bottom w:val="single" w:sz="0" w:space="0" w:color="D3D3D3"/>
              <w:right w:val="single" w:sz="0" w:space="0" w:color="D3D3D3"/>
            </w:tcBorders>
          </w:tcPr>
          <w:p w14:paraId="47C95C96" w14:textId="77777777" w:rsidR="00E42D5E" w:rsidRPr="003240E1" w:rsidRDefault="00000000" w:rsidP="003240E1">
            <w:pPr>
              <w:keepNext/>
              <w:spacing w:after="60"/>
              <w:jc w:val="both"/>
              <w:rPr>
                <w:lang w:val="es-DO"/>
              </w:rPr>
            </w:pPr>
            <w:r w:rsidRPr="003240E1">
              <w:rPr>
                <w:rFonts w:ascii="Calibri" w:hAnsi="Calibri"/>
                <w:sz w:val="20"/>
                <w:lang w:val="es-DO"/>
              </w:rPr>
              <w:t>274,662,944.0</w:t>
            </w:r>
          </w:p>
        </w:tc>
        <w:tc>
          <w:tcPr>
            <w:tcW w:w="0" w:type="auto"/>
            <w:tcBorders>
              <w:top w:val="single" w:sz="0" w:space="0" w:color="D3D3D3"/>
              <w:left w:val="single" w:sz="0" w:space="0" w:color="D3D3D3"/>
              <w:bottom w:val="single" w:sz="0" w:space="0" w:color="D3D3D3"/>
              <w:right w:val="single" w:sz="0" w:space="0" w:color="D3D3D3"/>
            </w:tcBorders>
          </w:tcPr>
          <w:p w14:paraId="12F1CC79" w14:textId="77777777" w:rsidR="00E42D5E" w:rsidRPr="003240E1" w:rsidRDefault="00000000" w:rsidP="003240E1">
            <w:pPr>
              <w:keepNext/>
              <w:spacing w:after="60"/>
              <w:jc w:val="both"/>
              <w:rPr>
                <w:lang w:val="es-DO"/>
              </w:rPr>
            </w:pPr>
            <w:r w:rsidRPr="003240E1">
              <w:rPr>
                <w:rFonts w:ascii="Calibri" w:hAnsi="Calibri"/>
                <w:sz w:val="20"/>
                <w:lang w:val="es-DO"/>
              </w:rPr>
              <w:t>49,778,890.0</w:t>
            </w:r>
          </w:p>
        </w:tc>
        <w:tc>
          <w:tcPr>
            <w:tcW w:w="0" w:type="auto"/>
            <w:tcBorders>
              <w:top w:val="single" w:sz="0" w:space="0" w:color="D3D3D3"/>
              <w:left w:val="single" w:sz="0" w:space="0" w:color="D3D3D3"/>
              <w:bottom w:val="single" w:sz="0" w:space="0" w:color="D3D3D3"/>
              <w:right w:val="single" w:sz="0" w:space="0" w:color="D3D3D3"/>
            </w:tcBorders>
          </w:tcPr>
          <w:p w14:paraId="613DF999" w14:textId="77777777" w:rsidR="00E42D5E" w:rsidRPr="003240E1" w:rsidRDefault="00000000" w:rsidP="003240E1">
            <w:pPr>
              <w:keepNext/>
              <w:spacing w:after="60"/>
              <w:jc w:val="both"/>
              <w:rPr>
                <w:lang w:val="es-DO"/>
              </w:rPr>
            </w:pPr>
            <w:r w:rsidRPr="003240E1">
              <w:rPr>
                <w:rFonts w:ascii="Calibri" w:hAnsi="Calibri"/>
                <w:sz w:val="20"/>
                <w:lang w:val="es-DO"/>
              </w:rPr>
              <w:t>6.5</w:t>
            </w:r>
          </w:p>
        </w:tc>
        <w:tc>
          <w:tcPr>
            <w:tcW w:w="0" w:type="auto"/>
            <w:tcBorders>
              <w:top w:val="single" w:sz="0" w:space="0" w:color="D3D3D3"/>
              <w:left w:val="single" w:sz="0" w:space="0" w:color="D3D3D3"/>
              <w:bottom w:val="single" w:sz="0" w:space="0" w:color="D3D3D3"/>
              <w:right w:val="single" w:sz="0" w:space="0" w:color="D3D3D3"/>
            </w:tcBorders>
          </w:tcPr>
          <w:p w14:paraId="219D52E7" w14:textId="77777777" w:rsidR="00E42D5E" w:rsidRPr="003240E1" w:rsidRDefault="00000000" w:rsidP="003240E1">
            <w:pPr>
              <w:keepNext/>
              <w:spacing w:after="60"/>
              <w:jc w:val="both"/>
              <w:rPr>
                <w:lang w:val="es-DO"/>
              </w:rPr>
            </w:pPr>
            <w:r w:rsidRPr="003240E1">
              <w:rPr>
                <w:rFonts w:ascii="Calibri" w:hAnsi="Calibri"/>
                <w:sz w:val="20"/>
                <w:lang w:val="es-DO"/>
              </w:rPr>
              <w:t>2,772,717.4</w:t>
            </w:r>
          </w:p>
        </w:tc>
      </w:tr>
      <w:tr w:rsidR="00E42D5E" w:rsidRPr="003240E1" w14:paraId="19DFDAF1" w14:textId="77777777" w:rsidTr="00E42D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FCD0DF" w14:textId="77777777" w:rsidR="00E42D5E" w:rsidRPr="003240E1" w:rsidRDefault="00000000" w:rsidP="003240E1">
            <w:pPr>
              <w:keepNext/>
              <w:spacing w:after="60"/>
              <w:jc w:val="both"/>
              <w:rPr>
                <w:lang w:val="es-DO"/>
              </w:rPr>
            </w:pPr>
            <w:proofErr w:type="spellStart"/>
            <w:r w:rsidRPr="003240E1">
              <w:rPr>
                <w:rFonts w:ascii="Calibri" w:hAnsi="Calibri"/>
                <w:sz w:val="20"/>
                <w:lang w:val="es-DO"/>
              </w:rPr>
              <w:t>Desv</w:t>
            </w:r>
            <w:proofErr w:type="spellEnd"/>
            <w:r w:rsidRPr="003240E1">
              <w:rPr>
                <w:rFonts w:ascii="Calibri" w:hAnsi="Calibri"/>
                <w:sz w:val="20"/>
                <w:lang w:val="es-DO"/>
              </w:rPr>
              <w:t xml:space="preserve">. </w:t>
            </w:r>
            <w:proofErr w:type="spellStart"/>
            <w:r w:rsidRPr="003240E1">
              <w:rPr>
                <w:rFonts w:ascii="Calibri" w:hAnsi="Calibri"/>
                <w:sz w:val="20"/>
                <w:lang w:val="es-DO"/>
              </w:rPr>
              <w:t>Est</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FE5C68B" w14:textId="77777777" w:rsidR="00E42D5E" w:rsidRPr="003240E1" w:rsidRDefault="00000000" w:rsidP="003240E1">
            <w:pPr>
              <w:keepNext/>
              <w:spacing w:after="60"/>
              <w:jc w:val="both"/>
              <w:rPr>
                <w:lang w:val="es-DO"/>
              </w:rPr>
            </w:pPr>
            <w:r w:rsidRPr="003240E1">
              <w:rPr>
                <w:rFonts w:ascii="Calibri" w:hAnsi="Calibri"/>
                <w:sz w:val="20"/>
                <w:lang w:val="es-DO"/>
              </w:rPr>
              <w:t>112,731,914.9</w:t>
            </w:r>
          </w:p>
        </w:tc>
        <w:tc>
          <w:tcPr>
            <w:tcW w:w="0" w:type="auto"/>
            <w:tcBorders>
              <w:top w:val="single" w:sz="0" w:space="0" w:color="D3D3D3"/>
              <w:left w:val="single" w:sz="0" w:space="0" w:color="D3D3D3"/>
              <w:bottom w:val="single" w:sz="0" w:space="0" w:color="D3D3D3"/>
              <w:right w:val="single" w:sz="0" w:space="0" w:color="D3D3D3"/>
            </w:tcBorders>
          </w:tcPr>
          <w:p w14:paraId="7CFE7991" w14:textId="77777777" w:rsidR="00E42D5E" w:rsidRPr="003240E1" w:rsidRDefault="00000000" w:rsidP="003240E1">
            <w:pPr>
              <w:keepNext/>
              <w:spacing w:after="60"/>
              <w:jc w:val="both"/>
              <w:rPr>
                <w:lang w:val="es-DO"/>
              </w:rPr>
            </w:pPr>
            <w:r w:rsidRPr="003240E1">
              <w:rPr>
                <w:rFonts w:ascii="Calibri" w:hAnsi="Calibri"/>
                <w:sz w:val="20"/>
                <w:lang w:val="es-DO"/>
              </w:rPr>
              <w:t>23,176,290.5</w:t>
            </w:r>
          </w:p>
        </w:tc>
        <w:tc>
          <w:tcPr>
            <w:tcW w:w="0" w:type="auto"/>
            <w:tcBorders>
              <w:top w:val="single" w:sz="0" w:space="0" w:color="D3D3D3"/>
              <w:left w:val="single" w:sz="0" w:space="0" w:color="D3D3D3"/>
              <w:bottom w:val="single" w:sz="0" w:space="0" w:color="D3D3D3"/>
              <w:right w:val="single" w:sz="0" w:space="0" w:color="D3D3D3"/>
            </w:tcBorders>
          </w:tcPr>
          <w:p w14:paraId="498A9CEC" w14:textId="77777777" w:rsidR="00E42D5E" w:rsidRPr="003240E1" w:rsidRDefault="00000000" w:rsidP="003240E1">
            <w:pPr>
              <w:keepNext/>
              <w:spacing w:after="60"/>
              <w:jc w:val="both"/>
              <w:rPr>
                <w:lang w:val="es-DO"/>
              </w:rPr>
            </w:pPr>
            <w:r w:rsidRPr="003240E1">
              <w:rPr>
                <w:rFonts w:ascii="Calibri" w:hAnsi="Calibri"/>
                <w:sz w:val="20"/>
                <w:lang w:val="es-DO"/>
              </w:rPr>
              <w:t>2.7</w:t>
            </w:r>
          </w:p>
        </w:tc>
        <w:tc>
          <w:tcPr>
            <w:tcW w:w="0" w:type="auto"/>
            <w:tcBorders>
              <w:top w:val="single" w:sz="0" w:space="0" w:color="D3D3D3"/>
              <w:left w:val="single" w:sz="0" w:space="0" w:color="D3D3D3"/>
              <w:bottom w:val="single" w:sz="0" w:space="0" w:color="D3D3D3"/>
              <w:right w:val="single" w:sz="0" w:space="0" w:color="D3D3D3"/>
            </w:tcBorders>
          </w:tcPr>
          <w:p w14:paraId="65B2DD47" w14:textId="77777777" w:rsidR="00E42D5E" w:rsidRPr="003240E1" w:rsidRDefault="00000000" w:rsidP="003240E1">
            <w:pPr>
              <w:keepNext/>
              <w:spacing w:after="60"/>
              <w:jc w:val="both"/>
              <w:rPr>
                <w:lang w:val="es-DO"/>
              </w:rPr>
            </w:pPr>
            <w:r w:rsidRPr="003240E1">
              <w:rPr>
                <w:rFonts w:ascii="Calibri" w:hAnsi="Calibri"/>
                <w:sz w:val="20"/>
                <w:lang w:val="es-DO"/>
              </w:rPr>
              <w:t>969,940.7</w:t>
            </w:r>
          </w:p>
        </w:tc>
      </w:tr>
      <w:tr w:rsidR="00E42D5E" w:rsidRPr="003240E1" w14:paraId="077BC1B0" w14:textId="77777777" w:rsidTr="00E42D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DF037A" w14:textId="77777777" w:rsidR="00E42D5E" w:rsidRPr="003240E1" w:rsidRDefault="00000000" w:rsidP="003240E1">
            <w:pPr>
              <w:keepNext/>
              <w:spacing w:after="60"/>
              <w:jc w:val="both"/>
              <w:rPr>
                <w:lang w:val="es-DO"/>
              </w:rPr>
            </w:pPr>
            <w:r w:rsidRPr="003240E1">
              <w:rPr>
                <w:rFonts w:ascii="Calibri" w:hAnsi="Calibri"/>
                <w:sz w:val="20"/>
                <w:lang w:val="es-DO"/>
              </w:rPr>
              <w:t>Mínimo</w:t>
            </w:r>
          </w:p>
        </w:tc>
        <w:tc>
          <w:tcPr>
            <w:tcW w:w="0" w:type="auto"/>
            <w:tcBorders>
              <w:top w:val="single" w:sz="0" w:space="0" w:color="D3D3D3"/>
              <w:left w:val="single" w:sz="0" w:space="0" w:color="D3D3D3"/>
              <w:bottom w:val="single" w:sz="0" w:space="0" w:color="D3D3D3"/>
              <w:right w:val="single" w:sz="0" w:space="0" w:color="D3D3D3"/>
            </w:tcBorders>
          </w:tcPr>
          <w:p w14:paraId="75953470" w14:textId="77777777" w:rsidR="00E42D5E" w:rsidRPr="003240E1" w:rsidRDefault="00000000" w:rsidP="003240E1">
            <w:pPr>
              <w:keepNext/>
              <w:spacing w:after="60"/>
              <w:jc w:val="both"/>
              <w:rPr>
                <w:lang w:val="es-DO"/>
              </w:rPr>
            </w:pPr>
            <w:r w:rsidRPr="003240E1">
              <w:rPr>
                <w:rFonts w:ascii="Calibri" w:hAnsi="Calibri"/>
                <w:sz w:val="20"/>
                <w:lang w:val="es-DO"/>
              </w:rPr>
              <w:t>171,603,626.0</w:t>
            </w:r>
          </w:p>
        </w:tc>
        <w:tc>
          <w:tcPr>
            <w:tcW w:w="0" w:type="auto"/>
            <w:tcBorders>
              <w:top w:val="single" w:sz="0" w:space="0" w:color="D3D3D3"/>
              <w:left w:val="single" w:sz="0" w:space="0" w:color="D3D3D3"/>
              <w:bottom w:val="single" w:sz="0" w:space="0" w:color="D3D3D3"/>
              <w:right w:val="single" w:sz="0" w:space="0" w:color="D3D3D3"/>
            </w:tcBorders>
          </w:tcPr>
          <w:p w14:paraId="780993B6" w14:textId="77777777" w:rsidR="00E42D5E" w:rsidRPr="003240E1" w:rsidRDefault="00000000" w:rsidP="003240E1">
            <w:pPr>
              <w:keepNext/>
              <w:spacing w:after="60"/>
              <w:jc w:val="both"/>
              <w:rPr>
                <w:lang w:val="es-DO"/>
              </w:rPr>
            </w:pPr>
            <w:r w:rsidRPr="003240E1">
              <w:rPr>
                <w:rFonts w:ascii="Calibri" w:hAnsi="Calibri"/>
                <w:sz w:val="20"/>
                <w:lang w:val="es-DO"/>
              </w:rPr>
              <w:t>22,577,275.0</w:t>
            </w:r>
          </w:p>
        </w:tc>
        <w:tc>
          <w:tcPr>
            <w:tcW w:w="0" w:type="auto"/>
            <w:tcBorders>
              <w:top w:val="single" w:sz="0" w:space="0" w:color="D3D3D3"/>
              <w:left w:val="single" w:sz="0" w:space="0" w:color="D3D3D3"/>
              <w:bottom w:val="single" w:sz="0" w:space="0" w:color="D3D3D3"/>
              <w:right w:val="single" w:sz="0" w:space="0" w:color="D3D3D3"/>
            </w:tcBorders>
          </w:tcPr>
          <w:p w14:paraId="2274A408" w14:textId="77777777" w:rsidR="00E42D5E" w:rsidRPr="003240E1" w:rsidRDefault="00000000" w:rsidP="003240E1">
            <w:pPr>
              <w:keepNext/>
              <w:spacing w:after="60"/>
              <w:jc w:val="both"/>
              <w:rPr>
                <w:lang w:val="es-DO"/>
              </w:rPr>
            </w:pPr>
            <w:r w:rsidRPr="003240E1">
              <w:rPr>
                <w:rFonts w:ascii="Calibri" w:hAnsi="Calibri"/>
                <w:sz w:val="20"/>
                <w:lang w:val="es-DO"/>
              </w:rPr>
              <w:t>5.6</w:t>
            </w:r>
          </w:p>
        </w:tc>
        <w:tc>
          <w:tcPr>
            <w:tcW w:w="0" w:type="auto"/>
            <w:tcBorders>
              <w:top w:val="single" w:sz="0" w:space="0" w:color="D3D3D3"/>
              <w:left w:val="single" w:sz="0" w:space="0" w:color="D3D3D3"/>
              <w:bottom w:val="single" w:sz="0" w:space="0" w:color="D3D3D3"/>
              <w:right w:val="single" w:sz="0" w:space="0" w:color="D3D3D3"/>
            </w:tcBorders>
          </w:tcPr>
          <w:p w14:paraId="6FC58492" w14:textId="77777777" w:rsidR="00E42D5E" w:rsidRPr="003240E1" w:rsidRDefault="00000000" w:rsidP="003240E1">
            <w:pPr>
              <w:keepNext/>
              <w:spacing w:after="60"/>
              <w:jc w:val="both"/>
              <w:rPr>
                <w:lang w:val="es-DO"/>
              </w:rPr>
            </w:pPr>
            <w:r w:rsidRPr="003240E1">
              <w:rPr>
                <w:rFonts w:ascii="Calibri" w:hAnsi="Calibri"/>
                <w:sz w:val="20"/>
                <w:lang w:val="es-DO"/>
              </w:rPr>
              <w:t>1,661,642.7</w:t>
            </w:r>
          </w:p>
        </w:tc>
      </w:tr>
      <w:tr w:rsidR="00E42D5E" w:rsidRPr="003240E1" w14:paraId="4A07D8CD" w14:textId="77777777" w:rsidTr="00E42D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C23F1A" w14:textId="77777777" w:rsidR="00E42D5E" w:rsidRPr="003240E1" w:rsidRDefault="00000000" w:rsidP="003240E1">
            <w:pPr>
              <w:keepNext/>
              <w:spacing w:after="60"/>
              <w:jc w:val="both"/>
              <w:rPr>
                <w:lang w:val="es-DO"/>
              </w:rPr>
            </w:pPr>
            <w:r w:rsidRPr="003240E1">
              <w:rPr>
                <w:rFonts w:ascii="Calibri" w:hAnsi="Calibri"/>
                <w:sz w:val="20"/>
                <w:lang w:val="es-DO"/>
              </w:rPr>
              <w:t>Máximo</w:t>
            </w:r>
          </w:p>
        </w:tc>
        <w:tc>
          <w:tcPr>
            <w:tcW w:w="0" w:type="auto"/>
            <w:tcBorders>
              <w:top w:val="single" w:sz="0" w:space="0" w:color="D3D3D3"/>
              <w:left w:val="single" w:sz="0" w:space="0" w:color="D3D3D3"/>
              <w:bottom w:val="single" w:sz="0" w:space="0" w:color="D3D3D3"/>
              <w:right w:val="single" w:sz="0" w:space="0" w:color="D3D3D3"/>
            </w:tcBorders>
          </w:tcPr>
          <w:p w14:paraId="03FB8AD6" w14:textId="77777777" w:rsidR="00E42D5E" w:rsidRPr="003240E1" w:rsidRDefault="00000000" w:rsidP="003240E1">
            <w:pPr>
              <w:keepNext/>
              <w:spacing w:after="60"/>
              <w:jc w:val="both"/>
              <w:rPr>
                <w:lang w:val="es-DO"/>
              </w:rPr>
            </w:pPr>
            <w:r w:rsidRPr="003240E1">
              <w:rPr>
                <w:rFonts w:ascii="Calibri" w:hAnsi="Calibri"/>
                <w:sz w:val="20"/>
                <w:lang w:val="es-DO"/>
              </w:rPr>
              <w:t>505,628,161.0</w:t>
            </w:r>
          </w:p>
        </w:tc>
        <w:tc>
          <w:tcPr>
            <w:tcW w:w="0" w:type="auto"/>
            <w:tcBorders>
              <w:top w:val="single" w:sz="0" w:space="0" w:color="D3D3D3"/>
              <w:left w:val="single" w:sz="0" w:space="0" w:color="D3D3D3"/>
              <w:bottom w:val="single" w:sz="0" w:space="0" w:color="D3D3D3"/>
              <w:right w:val="single" w:sz="0" w:space="0" w:color="D3D3D3"/>
            </w:tcBorders>
          </w:tcPr>
          <w:p w14:paraId="6409E4AB" w14:textId="77777777" w:rsidR="00E42D5E" w:rsidRPr="003240E1" w:rsidRDefault="00000000" w:rsidP="003240E1">
            <w:pPr>
              <w:keepNext/>
              <w:spacing w:after="60"/>
              <w:jc w:val="both"/>
              <w:rPr>
                <w:lang w:val="es-DO"/>
              </w:rPr>
            </w:pPr>
            <w:r w:rsidRPr="003240E1">
              <w:rPr>
                <w:rFonts w:ascii="Calibri" w:hAnsi="Calibri"/>
                <w:sz w:val="20"/>
                <w:lang w:val="es-DO"/>
              </w:rPr>
              <w:t>101,370,364.0</w:t>
            </w:r>
          </w:p>
        </w:tc>
        <w:tc>
          <w:tcPr>
            <w:tcW w:w="0" w:type="auto"/>
            <w:tcBorders>
              <w:top w:val="single" w:sz="0" w:space="0" w:color="D3D3D3"/>
              <w:left w:val="single" w:sz="0" w:space="0" w:color="D3D3D3"/>
              <w:bottom w:val="single" w:sz="0" w:space="0" w:color="D3D3D3"/>
              <w:right w:val="single" w:sz="0" w:space="0" w:color="D3D3D3"/>
            </w:tcBorders>
          </w:tcPr>
          <w:p w14:paraId="6A966569" w14:textId="77777777" w:rsidR="00E42D5E" w:rsidRPr="003240E1" w:rsidRDefault="00000000" w:rsidP="003240E1">
            <w:pPr>
              <w:keepNext/>
              <w:spacing w:after="60"/>
              <w:jc w:val="both"/>
              <w:rPr>
                <w:lang w:val="es-DO"/>
              </w:rPr>
            </w:pPr>
            <w:r w:rsidRPr="003240E1">
              <w:rPr>
                <w:rFonts w:ascii="Calibri" w:hAnsi="Calibri"/>
                <w:sz w:val="20"/>
                <w:lang w:val="es-DO"/>
              </w:rPr>
              <w:t>15.5</w:t>
            </w:r>
          </w:p>
        </w:tc>
        <w:tc>
          <w:tcPr>
            <w:tcW w:w="0" w:type="auto"/>
            <w:tcBorders>
              <w:top w:val="single" w:sz="0" w:space="0" w:color="D3D3D3"/>
              <w:left w:val="single" w:sz="0" w:space="0" w:color="D3D3D3"/>
              <w:bottom w:val="single" w:sz="0" w:space="0" w:color="D3D3D3"/>
              <w:right w:val="single" w:sz="0" w:space="0" w:color="D3D3D3"/>
            </w:tcBorders>
          </w:tcPr>
          <w:p w14:paraId="26BD5F90" w14:textId="77777777" w:rsidR="00E42D5E" w:rsidRPr="003240E1" w:rsidRDefault="00000000" w:rsidP="003240E1">
            <w:pPr>
              <w:keepNext/>
              <w:spacing w:after="60"/>
              <w:jc w:val="both"/>
              <w:rPr>
                <w:lang w:val="es-DO"/>
              </w:rPr>
            </w:pPr>
            <w:r w:rsidRPr="003240E1">
              <w:rPr>
                <w:rFonts w:ascii="Calibri" w:hAnsi="Calibri"/>
                <w:sz w:val="20"/>
                <w:lang w:val="es-DO"/>
              </w:rPr>
              <w:t>4,562,235.1</w:t>
            </w:r>
          </w:p>
        </w:tc>
      </w:tr>
    </w:tbl>
    <w:p w14:paraId="2A1500DF" w14:textId="77777777" w:rsidR="00E42D5E" w:rsidRPr="003240E1" w:rsidRDefault="00000000" w:rsidP="003240E1">
      <w:pPr>
        <w:pStyle w:val="Heading3"/>
        <w:jc w:val="both"/>
        <w:rPr>
          <w:lang w:val="es-DO"/>
        </w:rPr>
      </w:pPr>
      <w:bookmarkStart w:id="12" w:name="comportamiento-después-del-covid"/>
      <w:bookmarkStart w:id="13" w:name="_Toc199274308"/>
      <w:bookmarkEnd w:id="10"/>
      <w:r w:rsidRPr="003240E1">
        <w:rPr>
          <w:lang w:val="es-DO"/>
        </w:rPr>
        <w:t xml:space="preserve">Comportamiento después del </w:t>
      </w:r>
      <w:proofErr w:type="spellStart"/>
      <w:r w:rsidRPr="003240E1">
        <w:rPr>
          <w:lang w:val="es-DO"/>
        </w:rPr>
        <w:t>covid</w:t>
      </w:r>
      <w:proofErr w:type="spellEnd"/>
      <w:r w:rsidRPr="003240E1">
        <w:rPr>
          <w:lang w:val="es-DO"/>
        </w:rPr>
        <w:t>:</w:t>
      </w:r>
      <w:bookmarkEnd w:id="13"/>
    </w:p>
    <w:p w14:paraId="02CF4109" w14:textId="77777777" w:rsidR="00E42D5E" w:rsidRPr="003240E1" w:rsidRDefault="00000000" w:rsidP="003240E1">
      <w:pPr>
        <w:keepNext/>
        <w:spacing w:after="60"/>
        <w:jc w:val="center"/>
        <w:rPr>
          <w:lang w:val="es-DO"/>
        </w:rPr>
      </w:pPr>
      <w:r w:rsidRPr="003240E1">
        <w:rPr>
          <w:rFonts w:ascii="Calibri" w:hAnsi="Calibri"/>
          <w:lang w:val="es-DO"/>
        </w:rPr>
        <w:t xml:space="preserve">Table </w:t>
      </w:r>
      <w:r w:rsidRPr="003240E1">
        <w:rPr>
          <w:lang w:val="es-DO"/>
        </w:rPr>
        <w:fldChar w:fldCharType="begin"/>
      </w:r>
      <w:r w:rsidRPr="003240E1">
        <w:rPr>
          <w:lang w:val="es-DO"/>
        </w:rPr>
        <w:instrText xml:space="preserve"> SEQ Table \* ARABIC </w:instrText>
      </w:r>
      <w:r w:rsidRPr="003240E1">
        <w:rPr>
          <w:lang w:val="es-DO"/>
        </w:rPr>
        <w:fldChar w:fldCharType="separate"/>
      </w:r>
      <w:r w:rsidR="003240E1" w:rsidRPr="003240E1">
        <w:rPr>
          <w:noProof/>
          <w:lang w:val="es-DO"/>
        </w:rPr>
        <w:t>2</w:t>
      </w:r>
      <w:r w:rsidRPr="003240E1">
        <w:rPr>
          <w:lang w:val="es-DO"/>
        </w:rPr>
        <w:fldChar w:fldCharType="end"/>
      </w:r>
      <w:r w:rsidRPr="003240E1">
        <w:rPr>
          <w:rFonts w:ascii="Calibri" w:hAnsi="Calibri"/>
          <w:lang w:val="es-DO"/>
        </w:rPr>
        <w:t xml:space="preserve">: </w:t>
      </w:r>
      <w:r w:rsidRPr="003240E1">
        <w:rPr>
          <w:rFonts w:ascii="Calibri" w:hAnsi="Calibri"/>
          <w:color w:val="333333"/>
          <w:lang w:val="es-DO"/>
        </w:rPr>
        <w:t>Estadísticos descriptivos</w:t>
      </w:r>
    </w:p>
    <w:p w14:paraId="63FE9776" w14:textId="77777777" w:rsidR="00E42D5E" w:rsidRPr="003240E1" w:rsidRDefault="00000000" w:rsidP="003240E1">
      <w:pPr>
        <w:keepNext/>
        <w:spacing w:after="60"/>
        <w:jc w:val="center"/>
        <w:rPr>
          <w:lang w:val="es-DO"/>
        </w:rPr>
      </w:pPr>
      <w:proofErr w:type="spellStart"/>
      <w:r w:rsidRPr="003240E1">
        <w:rPr>
          <w:rFonts w:ascii="Calibri" w:hAnsi="Calibri"/>
          <w:color w:val="333333"/>
          <w:sz w:val="20"/>
          <w:lang w:val="es-DO"/>
        </w:rPr>
        <w:t>Post-covid</w:t>
      </w:r>
      <w:proofErr w:type="spellEnd"/>
      <w:r w:rsidRPr="003240E1">
        <w:rPr>
          <w:rFonts w:ascii="Calibri" w:hAnsi="Calibri"/>
          <w:color w:val="333333"/>
          <w:sz w:val="20"/>
          <w:lang w:val="es-DO"/>
        </w:rPr>
        <w:t xml:space="preserve"> (2020-2024)</w:t>
      </w:r>
    </w:p>
    <w:tbl>
      <w:tblPr>
        <w:tblStyle w:val="Table"/>
        <w:tblW w:w="0" w:type="auto"/>
        <w:jc w:val="center"/>
        <w:tblCellMar>
          <w:left w:w="60" w:type="dxa"/>
          <w:right w:w="60" w:type="dxa"/>
        </w:tblCellMar>
        <w:tblLook w:val="0000" w:firstRow="0" w:lastRow="0" w:firstColumn="0" w:lastColumn="0" w:noHBand="0" w:noVBand="0"/>
      </w:tblPr>
      <w:tblGrid>
        <w:gridCol w:w="850"/>
        <w:gridCol w:w="1436"/>
        <w:gridCol w:w="1284"/>
        <w:gridCol w:w="475"/>
        <w:gridCol w:w="1082"/>
      </w:tblGrid>
      <w:tr w:rsidR="00E42D5E" w:rsidRPr="003240E1" w14:paraId="60F8AC3B" w14:textId="77777777" w:rsidTr="00E42D5E">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3905759E" w14:textId="77777777" w:rsidR="00E42D5E" w:rsidRPr="003240E1" w:rsidRDefault="00E42D5E" w:rsidP="003240E1">
            <w:pPr>
              <w:keepNext/>
              <w:spacing w:after="60"/>
              <w:jc w:val="both"/>
              <w:rPr>
                <w:lang w:val="es-DO"/>
              </w:rPr>
            </w:pPr>
          </w:p>
        </w:tc>
        <w:tc>
          <w:tcPr>
            <w:tcW w:w="0" w:type="auto"/>
            <w:tcBorders>
              <w:top w:val="single" w:sz="16" w:space="0" w:color="D3D3D3"/>
              <w:left w:val="single" w:sz="0" w:space="0" w:color="D3D3D3"/>
              <w:bottom w:val="single" w:sz="16" w:space="0" w:color="D3D3D3"/>
            </w:tcBorders>
          </w:tcPr>
          <w:p w14:paraId="217E0086" w14:textId="7AC39E29" w:rsidR="00E42D5E" w:rsidRPr="003240E1" w:rsidRDefault="003240E1" w:rsidP="003240E1">
            <w:pPr>
              <w:keepNext/>
              <w:spacing w:after="60"/>
              <w:jc w:val="both"/>
              <w:rPr>
                <w:lang w:val="es-DO"/>
              </w:rPr>
            </w:pPr>
            <w:r w:rsidRPr="003240E1">
              <w:rPr>
                <w:rFonts w:ascii="Calibri" w:hAnsi="Calibri"/>
                <w:sz w:val="20"/>
                <w:lang w:val="es-DO"/>
              </w:rPr>
              <w:t>i</w:t>
            </w:r>
            <w:r w:rsidR="00000000" w:rsidRPr="003240E1">
              <w:rPr>
                <w:rFonts w:ascii="Calibri" w:hAnsi="Calibri"/>
                <w:sz w:val="20"/>
                <w:lang w:val="es-DO"/>
              </w:rPr>
              <w:t>nstrumentos</w:t>
            </w:r>
          </w:p>
        </w:tc>
        <w:tc>
          <w:tcPr>
            <w:tcW w:w="0" w:type="auto"/>
            <w:tcBorders>
              <w:top w:val="single" w:sz="16" w:space="0" w:color="D3D3D3"/>
              <w:bottom w:val="single" w:sz="16" w:space="0" w:color="D3D3D3"/>
            </w:tcBorders>
          </w:tcPr>
          <w:p w14:paraId="79E6CB26" w14:textId="18552F0C" w:rsidR="00E42D5E" w:rsidRPr="003240E1" w:rsidRDefault="003240E1" w:rsidP="003240E1">
            <w:pPr>
              <w:keepNext/>
              <w:spacing w:after="60"/>
              <w:jc w:val="both"/>
              <w:rPr>
                <w:lang w:val="es-DO"/>
              </w:rPr>
            </w:pPr>
            <w:r w:rsidRPr="003240E1">
              <w:rPr>
                <w:rFonts w:ascii="Calibri" w:hAnsi="Calibri"/>
                <w:sz w:val="20"/>
                <w:lang w:val="es-DO"/>
              </w:rPr>
              <w:t>electrónicas</w:t>
            </w:r>
          </w:p>
        </w:tc>
        <w:tc>
          <w:tcPr>
            <w:tcW w:w="0" w:type="auto"/>
            <w:tcBorders>
              <w:top w:val="single" w:sz="16" w:space="0" w:color="D3D3D3"/>
              <w:bottom w:val="single" w:sz="16" w:space="0" w:color="D3D3D3"/>
            </w:tcBorders>
          </w:tcPr>
          <w:p w14:paraId="260C7308" w14:textId="77777777" w:rsidR="00E42D5E" w:rsidRPr="003240E1" w:rsidRDefault="00000000" w:rsidP="003240E1">
            <w:pPr>
              <w:keepNext/>
              <w:spacing w:after="60"/>
              <w:jc w:val="both"/>
              <w:rPr>
                <w:lang w:val="es-DO"/>
              </w:rPr>
            </w:pPr>
            <w:proofErr w:type="spellStart"/>
            <w:r w:rsidRPr="003240E1">
              <w:rPr>
                <w:rFonts w:ascii="Calibri" w:hAnsi="Calibri"/>
                <w:sz w:val="20"/>
                <w:lang w:val="es-DO"/>
              </w:rPr>
              <w:t>tp</w:t>
            </w:r>
            <w:proofErr w:type="spellEnd"/>
          </w:p>
        </w:tc>
        <w:tc>
          <w:tcPr>
            <w:tcW w:w="0" w:type="auto"/>
            <w:tcBorders>
              <w:top w:val="single" w:sz="16" w:space="0" w:color="D3D3D3"/>
              <w:bottom w:val="single" w:sz="16" w:space="0" w:color="D3D3D3"/>
              <w:right w:val="single" w:sz="0" w:space="0" w:color="D3D3D3"/>
            </w:tcBorders>
          </w:tcPr>
          <w:p w14:paraId="46A5C80E" w14:textId="77777777" w:rsidR="00E42D5E" w:rsidRPr="003240E1" w:rsidRDefault="00000000" w:rsidP="003240E1">
            <w:pPr>
              <w:keepNext/>
              <w:spacing w:after="60"/>
              <w:jc w:val="both"/>
              <w:rPr>
                <w:lang w:val="es-DO"/>
              </w:rPr>
            </w:pPr>
            <w:r w:rsidRPr="003240E1">
              <w:rPr>
                <w:rFonts w:ascii="Calibri" w:hAnsi="Calibri"/>
                <w:sz w:val="20"/>
                <w:lang w:val="es-DO"/>
              </w:rPr>
              <w:t>pib</w:t>
            </w:r>
          </w:p>
        </w:tc>
      </w:tr>
      <w:tr w:rsidR="00E42D5E" w:rsidRPr="003240E1" w14:paraId="0AD51D13" w14:textId="77777777" w:rsidTr="00E42D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F449E5" w14:textId="77777777" w:rsidR="00E42D5E" w:rsidRPr="003240E1" w:rsidRDefault="00000000" w:rsidP="003240E1">
            <w:pPr>
              <w:keepNext/>
              <w:spacing w:after="60"/>
              <w:jc w:val="both"/>
              <w:rPr>
                <w:lang w:val="es-DO"/>
              </w:rPr>
            </w:pPr>
            <w:r w:rsidRPr="003240E1">
              <w:rPr>
                <w:rFonts w:ascii="Calibri" w:hAnsi="Calibri"/>
                <w:sz w:val="20"/>
                <w:lang w:val="es-DO"/>
              </w:rPr>
              <w:t>Media</w:t>
            </w:r>
          </w:p>
        </w:tc>
        <w:tc>
          <w:tcPr>
            <w:tcW w:w="0" w:type="auto"/>
            <w:tcBorders>
              <w:top w:val="single" w:sz="0" w:space="0" w:color="D3D3D3"/>
              <w:left w:val="single" w:sz="0" w:space="0" w:color="D3D3D3"/>
              <w:bottom w:val="single" w:sz="0" w:space="0" w:color="D3D3D3"/>
              <w:right w:val="single" w:sz="0" w:space="0" w:color="D3D3D3"/>
            </w:tcBorders>
          </w:tcPr>
          <w:p w14:paraId="3CC3B6B3" w14:textId="77777777" w:rsidR="00E42D5E" w:rsidRPr="003240E1" w:rsidRDefault="00000000" w:rsidP="003240E1">
            <w:pPr>
              <w:keepNext/>
              <w:spacing w:after="60"/>
              <w:jc w:val="both"/>
              <w:rPr>
                <w:lang w:val="es-DO"/>
              </w:rPr>
            </w:pPr>
            <w:r w:rsidRPr="003240E1">
              <w:rPr>
                <w:rFonts w:ascii="Calibri" w:hAnsi="Calibri"/>
                <w:sz w:val="20"/>
                <w:lang w:val="es-DO"/>
              </w:rPr>
              <w:t>741,568,606.0</w:t>
            </w:r>
          </w:p>
        </w:tc>
        <w:tc>
          <w:tcPr>
            <w:tcW w:w="0" w:type="auto"/>
            <w:tcBorders>
              <w:top w:val="single" w:sz="0" w:space="0" w:color="D3D3D3"/>
              <w:left w:val="single" w:sz="0" w:space="0" w:color="D3D3D3"/>
              <w:bottom w:val="single" w:sz="0" w:space="0" w:color="D3D3D3"/>
              <w:right w:val="single" w:sz="0" w:space="0" w:color="D3D3D3"/>
            </w:tcBorders>
          </w:tcPr>
          <w:p w14:paraId="3B44C912" w14:textId="77777777" w:rsidR="00E42D5E" w:rsidRPr="003240E1" w:rsidRDefault="00000000" w:rsidP="003240E1">
            <w:pPr>
              <w:keepNext/>
              <w:spacing w:after="60"/>
              <w:jc w:val="both"/>
              <w:rPr>
                <w:lang w:val="es-DO"/>
              </w:rPr>
            </w:pPr>
            <w:r w:rsidRPr="003240E1">
              <w:rPr>
                <w:rFonts w:ascii="Calibri" w:hAnsi="Calibri"/>
                <w:sz w:val="20"/>
                <w:lang w:val="es-DO"/>
              </w:rPr>
              <w:t>206,890,999.2</w:t>
            </w:r>
          </w:p>
        </w:tc>
        <w:tc>
          <w:tcPr>
            <w:tcW w:w="0" w:type="auto"/>
            <w:tcBorders>
              <w:top w:val="single" w:sz="0" w:space="0" w:color="D3D3D3"/>
              <w:left w:val="single" w:sz="0" w:space="0" w:color="D3D3D3"/>
              <w:bottom w:val="single" w:sz="0" w:space="0" w:color="D3D3D3"/>
              <w:right w:val="single" w:sz="0" w:space="0" w:color="D3D3D3"/>
            </w:tcBorders>
          </w:tcPr>
          <w:p w14:paraId="58E27B6C" w14:textId="77777777" w:rsidR="00E42D5E" w:rsidRPr="003240E1" w:rsidRDefault="00000000" w:rsidP="003240E1">
            <w:pPr>
              <w:keepNext/>
              <w:spacing w:after="60"/>
              <w:jc w:val="both"/>
              <w:rPr>
                <w:lang w:val="es-DO"/>
              </w:rPr>
            </w:pPr>
            <w:r w:rsidRPr="003240E1">
              <w:rPr>
                <w:rFonts w:ascii="Calibri" w:hAnsi="Calibri"/>
                <w:sz w:val="20"/>
                <w:lang w:val="es-DO"/>
              </w:rPr>
              <w:t>8.2</w:t>
            </w:r>
          </w:p>
        </w:tc>
        <w:tc>
          <w:tcPr>
            <w:tcW w:w="0" w:type="auto"/>
            <w:tcBorders>
              <w:top w:val="single" w:sz="0" w:space="0" w:color="D3D3D3"/>
              <w:left w:val="single" w:sz="0" w:space="0" w:color="D3D3D3"/>
              <w:bottom w:val="single" w:sz="0" w:space="0" w:color="D3D3D3"/>
              <w:right w:val="single" w:sz="0" w:space="0" w:color="D3D3D3"/>
            </w:tcBorders>
          </w:tcPr>
          <w:p w14:paraId="03A5CDCE" w14:textId="77777777" w:rsidR="00E42D5E" w:rsidRPr="003240E1" w:rsidRDefault="00000000" w:rsidP="003240E1">
            <w:pPr>
              <w:keepNext/>
              <w:spacing w:after="60"/>
              <w:jc w:val="both"/>
              <w:rPr>
                <w:lang w:val="es-DO"/>
              </w:rPr>
            </w:pPr>
            <w:r w:rsidRPr="003240E1">
              <w:rPr>
                <w:rFonts w:ascii="Calibri" w:hAnsi="Calibri"/>
                <w:sz w:val="20"/>
                <w:lang w:val="es-DO"/>
              </w:rPr>
              <w:t>6,018,195.0</w:t>
            </w:r>
          </w:p>
        </w:tc>
      </w:tr>
      <w:tr w:rsidR="00E42D5E" w:rsidRPr="003240E1" w14:paraId="669807AA" w14:textId="77777777" w:rsidTr="00E42D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C90F16" w14:textId="77777777" w:rsidR="00E42D5E" w:rsidRPr="003240E1" w:rsidRDefault="00000000" w:rsidP="003240E1">
            <w:pPr>
              <w:keepNext/>
              <w:spacing w:after="60"/>
              <w:jc w:val="both"/>
              <w:rPr>
                <w:lang w:val="es-DO"/>
              </w:rPr>
            </w:pPr>
            <w:r w:rsidRPr="003240E1">
              <w:rPr>
                <w:rFonts w:ascii="Calibri" w:hAnsi="Calibri"/>
                <w:sz w:val="20"/>
                <w:lang w:val="es-DO"/>
              </w:rPr>
              <w:t>Mediana</w:t>
            </w:r>
          </w:p>
        </w:tc>
        <w:tc>
          <w:tcPr>
            <w:tcW w:w="0" w:type="auto"/>
            <w:tcBorders>
              <w:top w:val="single" w:sz="0" w:space="0" w:color="D3D3D3"/>
              <w:left w:val="single" w:sz="0" w:space="0" w:color="D3D3D3"/>
              <w:bottom w:val="single" w:sz="0" w:space="0" w:color="D3D3D3"/>
              <w:right w:val="single" w:sz="0" w:space="0" w:color="D3D3D3"/>
            </w:tcBorders>
          </w:tcPr>
          <w:p w14:paraId="385486C6" w14:textId="77777777" w:rsidR="00E42D5E" w:rsidRPr="003240E1" w:rsidRDefault="00000000" w:rsidP="003240E1">
            <w:pPr>
              <w:keepNext/>
              <w:spacing w:after="60"/>
              <w:jc w:val="both"/>
              <w:rPr>
                <w:lang w:val="es-DO"/>
              </w:rPr>
            </w:pPr>
            <w:r w:rsidRPr="003240E1">
              <w:rPr>
                <w:rFonts w:ascii="Calibri" w:hAnsi="Calibri"/>
                <w:sz w:val="20"/>
                <w:lang w:val="es-DO"/>
              </w:rPr>
              <w:t>719,957,145.0</w:t>
            </w:r>
          </w:p>
        </w:tc>
        <w:tc>
          <w:tcPr>
            <w:tcW w:w="0" w:type="auto"/>
            <w:tcBorders>
              <w:top w:val="single" w:sz="0" w:space="0" w:color="D3D3D3"/>
              <w:left w:val="single" w:sz="0" w:space="0" w:color="D3D3D3"/>
              <w:bottom w:val="single" w:sz="0" w:space="0" w:color="D3D3D3"/>
              <w:right w:val="single" w:sz="0" w:space="0" w:color="D3D3D3"/>
            </w:tcBorders>
          </w:tcPr>
          <w:p w14:paraId="1DC33438" w14:textId="77777777" w:rsidR="00E42D5E" w:rsidRPr="003240E1" w:rsidRDefault="00000000" w:rsidP="003240E1">
            <w:pPr>
              <w:keepNext/>
              <w:spacing w:after="60"/>
              <w:jc w:val="both"/>
              <w:rPr>
                <w:lang w:val="es-DO"/>
              </w:rPr>
            </w:pPr>
            <w:r w:rsidRPr="003240E1">
              <w:rPr>
                <w:rFonts w:ascii="Calibri" w:hAnsi="Calibri"/>
                <w:sz w:val="20"/>
                <w:lang w:val="es-DO"/>
              </w:rPr>
              <w:t>196,019,325.0</w:t>
            </w:r>
          </w:p>
        </w:tc>
        <w:tc>
          <w:tcPr>
            <w:tcW w:w="0" w:type="auto"/>
            <w:tcBorders>
              <w:top w:val="single" w:sz="0" w:space="0" w:color="D3D3D3"/>
              <w:left w:val="single" w:sz="0" w:space="0" w:color="D3D3D3"/>
              <w:bottom w:val="single" w:sz="0" w:space="0" w:color="D3D3D3"/>
              <w:right w:val="single" w:sz="0" w:space="0" w:color="D3D3D3"/>
            </w:tcBorders>
          </w:tcPr>
          <w:p w14:paraId="64B71D76" w14:textId="77777777" w:rsidR="00E42D5E" w:rsidRPr="003240E1" w:rsidRDefault="00000000" w:rsidP="003240E1">
            <w:pPr>
              <w:keepNext/>
              <w:spacing w:after="60"/>
              <w:jc w:val="both"/>
              <w:rPr>
                <w:lang w:val="es-DO"/>
              </w:rPr>
            </w:pPr>
            <w:r w:rsidRPr="003240E1">
              <w:rPr>
                <w:rFonts w:ascii="Calibri" w:hAnsi="Calibri"/>
                <w:sz w:val="20"/>
                <w:lang w:val="es-DO"/>
              </w:rPr>
              <w:t>9.8</w:t>
            </w:r>
          </w:p>
        </w:tc>
        <w:tc>
          <w:tcPr>
            <w:tcW w:w="0" w:type="auto"/>
            <w:tcBorders>
              <w:top w:val="single" w:sz="0" w:space="0" w:color="D3D3D3"/>
              <w:left w:val="single" w:sz="0" w:space="0" w:color="D3D3D3"/>
              <w:bottom w:val="single" w:sz="0" w:space="0" w:color="D3D3D3"/>
              <w:right w:val="single" w:sz="0" w:space="0" w:color="D3D3D3"/>
            </w:tcBorders>
          </w:tcPr>
          <w:p w14:paraId="5FF21EE4" w14:textId="77777777" w:rsidR="00E42D5E" w:rsidRPr="003240E1" w:rsidRDefault="00000000" w:rsidP="003240E1">
            <w:pPr>
              <w:keepNext/>
              <w:spacing w:after="60"/>
              <w:jc w:val="both"/>
              <w:rPr>
                <w:lang w:val="es-DO"/>
              </w:rPr>
            </w:pPr>
            <w:r w:rsidRPr="003240E1">
              <w:rPr>
                <w:rFonts w:ascii="Calibri" w:hAnsi="Calibri"/>
                <w:sz w:val="20"/>
                <w:lang w:val="es-DO"/>
              </w:rPr>
              <w:t>6,260,564.0</w:t>
            </w:r>
          </w:p>
        </w:tc>
      </w:tr>
      <w:tr w:rsidR="00E42D5E" w:rsidRPr="003240E1" w14:paraId="5E8F1E76" w14:textId="77777777" w:rsidTr="00E42D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6AE1BE" w14:textId="77777777" w:rsidR="00E42D5E" w:rsidRPr="003240E1" w:rsidRDefault="00000000" w:rsidP="003240E1">
            <w:pPr>
              <w:keepNext/>
              <w:spacing w:after="60"/>
              <w:jc w:val="both"/>
              <w:rPr>
                <w:lang w:val="es-DO"/>
              </w:rPr>
            </w:pPr>
            <w:proofErr w:type="spellStart"/>
            <w:r w:rsidRPr="003240E1">
              <w:rPr>
                <w:rFonts w:ascii="Calibri" w:hAnsi="Calibri"/>
                <w:sz w:val="20"/>
                <w:lang w:val="es-DO"/>
              </w:rPr>
              <w:t>Desv</w:t>
            </w:r>
            <w:proofErr w:type="spellEnd"/>
            <w:r w:rsidRPr="003240E1">
              <w:rPr>
                <w:rFonts w:ascii="Calibri" w:hAnsi="Calibri"/>
                <w:sz w:val="20"/>
                <w:lang w:val="es-DO"/>
              </w:rPr>
              <w:t xml:space="preserve">. </w:t>
            </w:r>
            <w:proofErr w:type="spellStart"/>
            <w:r w:rsidRPr="003240E1">
              <w:rPr>
                <w:rFonts w:ascii="Calibri" w:hAnsi="Calibri"/>
                <w:sz w:val="20"/>
                <w:lang w:val="es-DO"/>
              </w:rPr>
              <w:t>Est</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2C631FD3" w14:textId="77777777" w:rsidR="00E42D5E" w:rsidRPr="003240E1" w:rsidRDefault="00000000" w:rsidP="003240E1">
            <w:pPr>
              <w:keepNext/>
              <w:spacing w:after="60"/>
              <w:jc w:val="both"/>
              <w:rPr>
                <w:lang w:val="es-DO"/>
              </w:rPr>
            </w:pPr>
            <w:r w:rsidRPr="003240E1">
              <w:rPr>
                <w:rFonts w:ascii="Calibri" w:hAnsi="Calibri"/>
                <w:sz w:val="20"/>
                <w:lang w:val="es-DO"/>
              </w:rPr>
              <w:t>222,923,777.8</w:t>
            </w:r>
          </w:p>
        </w:tc>
        <w:tc>
          <w:tcPr>
            <w:tcW w:w="0" w:type="auto"/>
            <w:tcBorders>
              <w:top w:val="single" w:sz="0" w:space="0" w:color="D3D3D3"/>
              <w:left w:val="single" w:sz="0" w:space="0" w:color="D3D3D3"/>
              <w:bottom w:val="single" w:sz="0" w:space="0" w:color="D3D3D3"/>
              <w:right w:val="single" w:sz="0" w:space="0" w:color="D3D3D3"/>
            </w:tcBorders>
          </w:tcPr>
          <w:p w14:paraId="71C8A768" w14:textId="77777777" w:rsidR="00E42D5E" w:rsidRPr="003240E1" w:rsidRDefault="00000000" w:rsidP="003240E1">
            <w:pPr>
              <w:keepNext/>
              <w:spacing w:after="60"/>
              <w:jc w:val="both"/>
              <w:rPr>
                <w:lang w:val="es-DO"/>
              </w:rPr>
            </w:pPr>
            <w:r w:rsidRPr="003240E1">
              <w:rPr>
                <w:rFonts w:ascii="Calibri" w:hAnsi="Calibri"/>
                <w:sz w:val="20"/>
                <w:lang w:val="es-DO"/>
              </w:rPr>
              <w:t>82,338,856.3</w:t>
            </w:r>
          </w:p>
        </w:tc>
        <w:tc>
          <w:tcPr>
            <w:tcW w:w="0" w:type="auto"/>
            <w:tcBorders>
              <w:top w:val="single" w:sz="0" w:space="0" w:color="D3D3D3"/>
              <w:left w:val="single" w:sz="0" w:space="0" w:color="D3D3D3"/>
              <w:bottom w:val="single" w:sz="0" w:space="0" w:color="D3D3D3"/>
              <w:right w:val="single" w:sz="0" w:space="0" w:color="D3D3D3"/>
            </w:tcBorders>
          </w:tcPr>
          <w:p w14:paraId="39CB451B" w14:textId="77777777" w:rsidR="00E42D5E" w:rsidRPr="003240E1" w:rsidRDefault="00000000" w:rsidP="003240E1">
            <w:pPr>
              <w:keepNext/>
              <w:spacing w:after="60"/>
              <w:jc w:val="both"/>
              <w:rPr>
                <w:lang w:val="es-DO"/>
              </w:rPr>
            </w:pPr>
            <w:r w:rsidRPr="003240E1">
              <w:rPr>
                <w:rFonts w:ascii="Calibri" w:hAnsi="Calibri"/>
                <w:sz w:val="20"/>
                <w:lang w:val="es-DO"/>
              </w:rPr>
              <w:t>3.7</w:t>
            </w:r>
          </w:p>
        </w:tc>
        <w:tc>
          <w:tcPr>
            <w:tcW w:w="0" w:type="auto"/>
            <w:tcBorders>
              <w:top w:val="single" w:sz="0" w:space="0" w:color="D3D3D3"/>
              <w:left w:val="single" w:sz="0" w:space="0" w:color="D3D3D3"/>
              <w:bottom w:val="single" w:sz="0" w:space="0" w:color="D3D3D3"/>
              <w:right w:val="single" w:sz="0" w:space="0" w:color="D3D3D3"/>
            </w:tcBorders>
          </w:tcPr>
          <w:p w14:paraId="4626EE41" w14:textId="77777777" w:rsidR="00E42D5E" w:rsidRPr="003240E1" w:rsidRDefault="00000000" w:rsidP="003240E1">
            <w:pPr>
              <w:keepNext/>
              <w:spacing w:after="60"/>
              <w:jc w:val="both"/>
              <w:rPr>
                <w:lang w:val="es-DO"/>
              </w:rPr>
            </w:pPr>
            <w:r w:rsidRPr="003240E1">
              <w:rPr>
                <w:rFonts w:ascii="Calibri" w:hAnsi="Calibri"/>
                <w:sz w:val="20"/>
                <w:lang w:val="es-DO"/>
              </w:rPr>
              <w:t>1,099,697.7</w:t>
            </w:r>
          </w:p>
        </w:tc>
      </w:tr>
      <w:tr w:rsidR="00E42D5E" w:rsidRPr="003240E1" w14:paraId="3363FBA3" w14:textId="77777777" w:rsidTr="00E42D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906F75" w14:textId="77777777" w:rsidR="00E42D5E" w:rsidRPr="003240E1" w:rsidRDefault="00000000" w:rsidP="003240E1">
            <w:pPr>
              <w:keepNext/>
              <w:spacing w:after="60"/>
              <w:jc w:val="both"/>
              <w:rPr>
                <w:lang w:val="es-DO"/>
              </w:rPr>
            </w:pPr>
            <w:r w:rsidRPr="003240E1">
              <w:rPr>
                <w:rFonts w:ascii="Calibri" w:hAnsi="Calibri"/>
                <w:sz w:val="20"/>
                <w:lang w:val="es-DO"/>
              </w:rPr>
              <w:t>Mínimo</w:t>
            </w:r>
          </w:p>
        </w:tc>
        <w:tc>
          <w:tcPr>
            <w:tcW w:w="0" w:type="auto"/>
            <w:tcBorders>
              <w:top w:val="single" w:sz="0" w:space="0" w:color="D3D3D3"/>
              <w:left w:val="single" w:sz="0" w:space="0" w:color="D3D3D3"/>
              <w:bottom w:val="single" w:sz="0" w:space="0" w:color="D3D3D3"/>
              <w:right w:val="single" w:sz="0" w:space="0" w:color="D3D3D3"/>
            </w:tcBorders>
          </w:tcPr>
          <w:p w14:paraId="4710A622" w14:textId="77777777" w:rsidR="00E42D5E" w:rsidRPr="003240E1" w:rsidRDefault="00000000" w:rsidP="003240E1">
            <w:pPr>
              <w:keepNext/>
              <w:spacing w:after="60"/>
              <w:jc w:val="both"/>
              <w:rPr>
                <w:lang w:val="es-DO"/>
              </w:rPr>
            </w:pPr>
            <w:r w:rsidRPr="003240E1">
              <w:rPr>
                <w:rFonts w:ascii="Calibri" w:hAnsi="Calibri"/>
                <w:sz w:val="20"/>
                <w:lang w:val="es-DO"/>
              </w:rPr>
              <w:t>490,709,852.0</w:t>
            </w:r>
          </w:p>
        </w:tc>
        <w:tc>
          <w:tcPr>
            <w:tcW w:w="0" w:type="auto"/>
            <w:tcBorders>
              <w:top w:val="single" w:sz="0" w:space="0" w:color="D3D3D3"/>
              <w:left w:val="single" w:sz="0" w:space="0" w:color="D3D3D3"/>
              <w:bottom w:val="single" w:sz="0" w:space="0" w:color="D3D3D3"/>
              <w:right w:val="single" w:sz="0" w:space="0" w:color="D3D3D3"/>
            </w:tcBorders>
          </w:tcPr>
          <w:p w14:paraId="64C23CE4" w14:textId="77777777" w:rsidR="00E42D5E" w:rsidRPr="003240E1" w:rsidRDefault="00000000" w:rsidP="003240E1">
            <w:pPr>
              <w:keepNext/>
              <w:spacing w:after="60"/>
              <w:jc w:val="both"/>
              <w:rPr>
                <w:lang w:val="es-DO"/>
              </w:rPr>
            </w:pPr>
            <w:r w:rsidRPr="003240E1">
              <w:rPr>
                <w:rFonts w:ascii="Calibri" w:hAnsi="Calibri"/>
                <w:sz w:val="20"/>
                <w:lang w:val="es-DO"/>
              </w:rPr>
              <w:t>115,547,180.0</w:t>
            </w:r>
          </w:p>
        </w:tc>
        <w:tc>
          <w:tcPr>
            <w:tcW w:w="0" w:type="auto"/>
            <w:tcBorders>
              <w:top w:val="single" w:sz="0" w:space="0" w:color="D3D3D3"/>
              <w:left w:val="single" w:sz="0" w:space="0" w:color="D3D3D3"/>
              <w:bottom w:val="single" w:sz="0" w:space="0" w:color="D3D3D3"/>
              <w:right w:val="single" w:sz="0" w:space="0" w:color="D3D3D3"/>
            </w:tcBorders>
          </w:tcPr>
          <w:p w14:paraId="0AA6EF2B" w14:textId="77777777" w:rsidR="00E42D5E" w:rsidRPr="003240E1" w:rsidRDefault="00000000" w:rsidP="003240E1">
            <w:pPr>
              <w:keepNext/>
              <w:spacing w:after="60"/>
              <w:jc w:val="both"/>
              <w:rPr>
                <w:lang w:val="es-DO"/>
              </w:rPr>
            </w:pPr>
            <w:r w:rsidRPr="003240E1">
              <w:rPr>
                <w:rFonts w:ascii="Calibri" w:hAnsi="Calibri"/>
                <w:sz w:val="20"/>
                <w:lang w:val="es-DO"/>
              </w:rPr>
              <w:t>4.0</w:t>
            </w:r>
          </w:p>
        </w:tc>
        <w:tc>
          <w:tcPr>
            <w:tcW w:w="0" w:type="auto"/>
            <w:tcBorders>
              <w:top w:val="single" w:sz="0" w:space="0" w:color="D3D3D3"/>
              <w:left w:val="single" w:sz="0" w:space="0" w:color="D3D3D3"/>
              <w:bottom w:val="single" w:sz="0" w:space="0" w:color="D3D3D3"/>
              <w:right w:val="single" w:sz="0" w:space="0" w:color="D3D3D3"/>
            </w:tcBorders>
          </w:tcPr>
          <w:p w14:paraId="4131ED28" w14:textId="77777777" w:rsidR="00E42D5E" w:rsidRPr="003240E1" w:rsidRDefault="00000000" w:rsidP="003240E1">
            <w:pPr>
              <w:keepNext/>
              <w:spacing w:after="60"/>
              <w:jc w:val="both"/>
              <w:rPr>
                <w:lang w:val="es-DO"/>
              </w:rPr>
            </w:pPr>
            <w:r w:rsidRPr="003240E1">
              <w:rPr>
                <w:rFonts w:ascii="Calibri" w:hAnsi="Calibri"/>
                <w:sz w:val="20"/>
                <w:lang w:val="es-DO"/>
              </w:rPr>
              <w:t>4,456,657.4</w:t>
            </w:r>
          </w:p>
        </w:tc>
      </w:tr>
      <w:tr w:rsidR="00E42D5E" w:rsidRPr="003240E1" w14:paraId="4B6F0993" w14:textId="77777777" w:rsidTr="00E42D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B96978" w14:textId="77777777" w:rsidR="00E42D5E" w:rsidRPr="003240E1" w:rsidRDefault="00000000" w:rsidP="003240E1">
            <w:pPr>
              <w:keepNext/>
              <w:spacing w:after="60"/>
              <w:jc w:val="both"/>
              <w:rPr>
                <w:lang w:val="es-DO"/>
              </w:rPr>
            </w:pPr>
            <w:r w:rsidRPr="003240E1">
              <w:rPr>
                <w:rFonts w:ascii="Calibri" w:hAnsi="Calibri"/>
                <w:sz w:val="20"/>
                <w:lang w:val="es-DO"/>
              </w:rPr>
              <w:t>Máximo</w:t>
            </w:r>
          </w:p>
        </w:tc>
        <w:tc>
          <w:tcPr>
            <w:tcW w:w="0" w:type="auto"/>
            <w:tcBorders>
              <w:top w:val="single" w:sz="0" w:space="0" w:color="D3D3D3"/>
              <w:left w:val="single" w:sz="0" w:space="0" w:color="D3D3D3"/>
              <w:bottom w:val="single" w:sz="0" w:space="0" w:color="D3D3D3"/>
              <w:right w:val="single" w:sz="0" w:space="0" w:color="D3D3D3"/>
            </w:tcBorders>
          </w:tcPr>
          <w:p w14:paraId="6D0FDE7B" w14:textId="77777777" w:rsidR="00E42D5E" w:rsidRPr="003240E1" w:rsidRDefault="00000000" w:rsidP="003240E1">
            <w:pPr>
              <w:keepNext/>
              <w:spacing w:after="60"/>
              <w:jc w:val="both"/>
              <w:rPr>
                <w:lang w:val="es-DO"/>
              </w:rPr>
            </w:pPr>
            <w:r w:rsidRPr="003240E1">
              <w:rPr>
                <w:rFonts w:ascii="Calibri" w:hAnsi="Calibri"/>
                <w:sz w:val="20"/>
                <w:lang w:val="es-DO"/>
              </w:rPr>
              <w:t>1,058,133,076.0</w:t>
            </w:r>
          </w:p>
        </w:tc>
        <w:tc>
          <w:tcPr>
            <w:tcW w:w="0" w:type="auto"/>
            <w:tcBorders>
              <w:top w:val="single" w:sz="0" w:space="0" w:color="D3D3D3"/>
              <w:left w:val="single" w:sz="0" w:space="0" w:color="D3D3D3"/>
              <w:bottom w:val="single" w:sz="0" w:space="0" w:color="D3D3D3"/>
              <w:right w:val="single" w:sz="0" w:space="0" w:color="D3D3D3"/>
            </w:tcBorders>
          </w:tcPr>
          <w:p w14:paraId="14D7163D" w14:textId="77777777" w:rsidR="00E42D5E" w:rsidRPr="003240E1" w:rsidRDefault="00000000" w:rsidP="003240E1">
            <w:pPr>
              <w:keepNext/>
              <w:spacing w:after="60"/>
              <w:jc w:val="both"/>
              <w:rPr>
                <w:lang w:val="es-DO"/>
              </w:rPr>
            </w:pPr>
            <w:r w:rsidRPr="003240E1">
              <w:rPr>
                <w:rFonts w:ascii="Calibri" w:hAnsi="Calibri"/>
                <w:sz w:val="20"/>
                <w:lang w:val="es-DO"/>
              </w:rPr>
              <w:t>325,142,471.0</w:t>
            </w:r>
          </w:p>
        </w:tc>
        <w:tc>
          <w:tcPr>
            <w:tcW w:w="0" w:type="auto"/>
            <w:tcBorders>
              <w:top w:val="single" w:sz="0" w:space="0" w:color="D3D3D3"/>
              <w:left w:val="single" w:sz="0" w:space="0" w:color="D3D3D3"/>
              <w:bottom w:val="single" w:sz="0" w:space="0" w:color="D3D3D3"/>
              <w:right w:val="single" w:sz="0" w:space="0" w:color="D3D3D3"/>
            </w:tcBorders>
          </w:tcPr>
          <w:p w14:paraId="1A7CD7E3" w14:textId="77777777" w:rsidR="00E42D5E" w:rsidRPr="003240E1" w:rsidRDefault="00000000" w:rsidP="003240E1">
            <w:pPr>
              <w:keepNext/>
              <w:spacing w:after="60"/>
              <w:jc w:val="both"/>
              <w:rPr>
                <w:lang w:val="es-DO"/>
              </w:rPr>
            </w:pPr>
            <w:r w:rsidRPr="003240E1">
              <w:rPr>
                <w:rFonts w:ascii="Calibri" w:hAnsi="Calibri"/>
                <w:sz w:val="20"/>
                <w:lang w:val="es-DO"/>
              </w:rPr>
              <w:t>11.7</w:t>
            </w:r>
          </w:p>
        </w:tc>
        <w:tc>
          <w:tcPr>
            <w:tcW w:w="0" w:type="auto"/>
            <w:tcBorders>
              <w:top w:val="single" w:sz="0" w:space="0" w:color="D3D3D3"/>
              <w:left w:val="single" w:sz="0" w:space="0" w:color="D3D3D3"/>
              <w:bottom w:val="single" w:sz="0" w:space="0" w:color="D3D3D3"/>
              <w:right w:val="single" w:sz="0" w:space="0" w:color="D3D3D3"/>
            </w:tcBorders>
          </w:tcPr>
          <w:p w14:paraId="4272DC02" w14:textId="77777777" w:rsidR="00E42D5E" w:rsidRPr="003240E1" w:rsidRDefault="00000000" w:rsidP="003240E1">
            <w:pPr>
              <w:keepNext/>
              <w:spacing w:after="60"/>
              <w:jc w:val="both"/>
              <w:rPr>
                <w:lang w:val="es-DO"/>
              </w:rPr>
            </w:pPr>
            <w:r w:rsidRPr="003240E1">
              <w:rPr>
                <w:rFonts w:ascii="Calibri" w:hAnsi="Calibri"/>
                <w:sz w:val="20"/>
                <w:lang w:val="es-DO"/>
              </w:rPr>
              <w:t>7,161,020.2</w:t>
            </w:r>
          </w:p>
        </w:tc>
      </w:tr>
    </w:tbl>
    <w:p w14:paraId="7DCF25DD" w14:textId="77777777" w:rsidR="00E42D5E" w:rsidRPr="003240E1" w:rsidRDefault="00000000" w:rsidP="003240E1">
      <w:pPr>
        <w:pStyle w:val="FirstParagraph"/>
        <w:jc w:val="both"/>
        <w:rPr>
          <w:lang w:val="es-DO"/>
        </w:rPr>
      </w:pPr>
      <w:r w:rsidRPr="003240E1">
        <w:rPr>
          <w:lang w:val="es-DO"/>
        </w:rPr>
        <w:t>La variabilidad de los datos también experimentó cambios sustanciales. La desviación estándar de los instrumentos de pago se duplicó en el período post-COVID, pasando de 112.7 millones a 222.9 millones, sugiriendo una mayor volatilidad en la adopción de tecnologías de pago. Similar patrón se observa en las transferencias electrónicas, cuya desviación estándar aumentó de 23.2 millones a 82.3 millones.</w:t>
      </w:r>
    </w:p>
    <w:p w14:paraId="149096C3" w14:textId="77777777" w:rsidR="003240E1" w:rsidRDefault="003240E1" w:rsidP="003240E1">
      <w:pPr>
        <w:pStyle w:val="Heading3"/>
        <w:jc w:val="both"/>
        <w:rPr>
          <w:lang w:val="es-DO"/>
        </w:rPr>
      </w:pPr>
      <w:bookmarkStart w:id="14" w:name="correlación"/>
      <w:bookmarkEnd w:id="12"/>
    </w:p>
    <w:p w14:paraId="37928C45" w14:textId="77777777" w:rsidR="003240E1" w:rsidRDefault="003240E1">
      <w:pPr>
        <w:rPr>
          <w:rFonts w:eastAsiaTheme="majorEastAsia" w:cstheme="majorBidi"/>
          <w:color w:val="0F4761" w:themeColor="accent1" w:themeShade="BF"/>
          <w:sz w:val="28"/>
          <w:szCs w:val="28"/>
          <w:lang w:val="es-DO"/>
        </w:rPr>
      </w:pPr>
      <w:r>
        <w:rPr>
          <w:lang w:val="es-DO"/>
        </w:rPr>
        <w:br w:type="page"/>
      </w:r>
    </w:p>
    <w:p w14:paraId="0EEC8AD8" w14:textId="74353080" w:rsidR="00E42D5E" w:rsidRDefault="00000000" w:rsidP="003240E1">
      <w:pPr>
        <w:pStyle w:val="Heading3"/>
        <w:jc w:val="both"/>
        <w:rPr>
          <w:lang w:val="es-DO"/>
        </w:rPr>
      </w:pPr>
      <w:bookmarkStart w:id="15" w:name="_Toc199274309"/>
      <w:r w:rsidRPr="003240E1">
        <w:rPr>
          <w:lang w:val="es-DO"/>
        </w:rPr>
        <w:lastRenderedPageBreak/>
        <w:t>Correlación</w:t>
      </w:r>
      <w:bookmarkEnd w:id="15"/>
    </w:p>
    <w:p w14:paraId="6C608CC2" w14:textId="3887BB5A" w:rsidR="003240E1" w:rsidRPr="0082781E" w:rsidRDefault="003240E1" w:rsidP="003240E1">
      <w:pPr>
        <w:pStyle w:val="BodyText"/>
        <w:rPr>
          <w:b/>
          <w:bCs/>
          <w:lang w:val="es-DO"/>
        </w:rPr>
      </w:pPr>
      <w:r w:rsidRPr="0082781E">
        <w:rPr>
          <w:b/>
          <w:bCs/>
          <w:lang w:val="es-DO"/>
        </w:rPr>
        <w:t>Gráfico 1</w:t>
      </w:r>
    </w:p>
    <w:p w14:paraId="2397482D" w14:textId="77777777" w:rsidR="00E42D5E" w:rsidRPr="003240E1" w:rsidRDefault="00000000" w:rsidP="003240E1">
      <w:pPr>
        <w:pStyle w:val="FirstParagraph"/>
        <w:jc w:val="center"/>
        <w:rPr>
          <w:lang w:val="es-DO"/>
        </w:rPr>
      </w:pPr>
      <w:r w:rsidRPr="003240E1">
        <w:rPr>
          <w:noProof/>
          <w:lang w:val="es-DO"/>
        </w:rPr>
        <w:drawing>
          <wp:inline distT="0" distB="0" distL="0" distR="0" wp14:anchorId="64545EB9" wp14:editId="3E423ECC">
            <wp:extent cx="3497580" cy="29337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practica1_files/figure-docx/corplot-1.png"/>
                    <pic:cNvPicPr>
                      <a:picLocks noChangeAspect="1" noChangeArrowheads="1"/>
                    </pic:cNvPicPr>
                  </pic:nvPicPr>
                  <pic:blipFill rotWithShape="1">
                    <a:blip r:embed="rId5"/>
                    <a:srcRect t="3978" b="9653"/>
                    <a:stretch/>
                  </pic:blipFill>
                  <pic:spPr bwMode="auto">
                    <a:xfrm>
                      <a:off x="0" y="0"/>
                      <a:ext cx="3499676" cy="2935458"/>
                    </a:xfrm>
                    <a:prstGeom prst="rect">
                      <a:avLst/>
                    </a:prstGeom>
                    <a:noFill/>
                    <a:ln>
                      <a:noFill/>
                    </a:ln>
                    <a:extLst>
                      <a:ext uri="{53640926-AAD7-44D8-BBD7-CCE9431645EC}">
                        <a14:shadowObscured xmlns:a14="http://schemas.microsoft.com/office/drawing/2010/main"/>
                      </a:ext>
                    </a:extLst>
                  </pic:spPr>
                </pic:pic>
              </a:graphicData>
            </a:graphic>
          </wp:inline>
        </w:drawing>
      </w:r>
    </w:p>
    <w:p w14:paraId="7DB8B9AA" w14:textId="77777777" w:rsidR="00E42D5E" w:rsidRPr="003240E1" w:rsidRDefault="00000000" w:rsidP="003240E1">
      <w:pPr>
        <w:pStyle w:val="BodyText"/>
        <w:jc w:val="both"/>
        <w:rPr>
          <w:lang w:val="es-DO"/>
        </w:rPr>
      </w:pPr>
      <w:r w:rsidRPr="003240E1">
        <w:rPr>
          <w:lang w:val="es-DO"/>
        </w:rPr>
        <w:t>El análisis de correlación revela fuertes asociaciones entre las variables del sistema de pagos y la actividad económica. Los instrumentos de pago electrónicos muestran una correlación de 0.98 con el PIB nominal, mientras que las transferencias electrónicas presentan una correlación de 0.95 con la misma variable. Particularmente notable es la alta correlación (0.986) entre instrumentos de pago y transferencias electrónicas, indicando que ambas modalidades evolucionan de manera sincronizada.</w:t>
      </w:r>
    </w:p>
    <w:p w14:paraId="32B7AE5D" w14:textId="77777777" w:rsidR="00E42D5E" w:rsidRPr="003240E1" w:rsidRDefault="00000000" w:rsidP="003240E1">
      <w:pPr>
        <w:pStyle w:val="BodyText"/>
        <w:jc w:val="both"/>
        <w:rPr>
          <w:lang w:val="es-DO"/>
        </w:rPr>
      </w:pPr>
      <w:r w:rsidRPr="003240E1">
        <w:rPr>
          <w:lang w:val="es-DO"/>
        </w:rPr>
        <w:t>La tasa pasiva interbancaria muestra correlaciones más débiles con las demás variables, registrando coeficientes de 0.203 con instrumentos de pago y 0.280 con transferencias electrónicas. Este patrón sugiere que las decisiones de adopción de pagos electrónicos están más influenciadas por factores estructurales y tecnológicos que por las condiciones monetarias de corto plazo.</w:t>
      </w:r>
    </w:p>
    <w:p w14:paraId="75E3D78C" w14:textId="77777777" w:rsidR="003240E1" w:rsidRDefault="003240E1" w:rsidP="003240E1">
      <w:pPr>
        <w:pStyle w:val="BodyText"/>
        <w:jc w:val="both"/>
        <w:rPr>
          <w:b/>
          <w:bCs/>
          <w:lang w:val="es-DO"/>
        </w:rPr>
      </w:pPr>
    </w:p>
    <w:p w14:paraId="5A8856DD" w14:textId="682A78C0" w:rsidR="00E42D5E" w:rsidRPr="0082781E" w:rsidRDefault="0082781E" w:rsidP="0082781E">
      <w:pPr>
        <w:rPr>
          <w:b/>
          <w:bCs/>
          <w:lang w:val="es-DO"/>
        </w:rPr>
      </w:pPr>
      <w:r>
        <w:rPr>
          <w:b/>
          <w:bCs/>
          <w:lang w:val="es-DO"/>
        </w:rPr>
        <w:br w:type="page"/>
      </w:r>
    </w:p>
    <w:tbl>
      <w:tblPr>
        <w:tblStyle w:val="TableGrid"/>
        <w:tblW w:w="0" w:type="auto"/>
        <w:tblLook w:val="04A0" w:firstRow="1" w:lastRow="0" w:firstColumn="1" w:lastColumn="0" w:noHBand="0" w:noVBand="1"/>
      </w:tblPr>
      <w:tblGrid>
        <w:gridCol w:w="4788"/>
        <w:gridCol w:w="4788"/>
      </w:tblGrid>
      <w:tr w:rsidR="0082781E" w14:paraId="40821BE2" w14:textId="77777777" w:rsidTr="009B10C3">
        <w:trPr>
          <w:trHeight w:val="485"/>
        </w:trPr>
        <w:tc>
          <w:tcPr>
            <w:tcW w:w="4788" w:type="dxa"/>
            <w:tcBorders>
              <w:top w:val="nil"/>
              <w:left w:val="nil"/>
              <w:bottom w:val="nil"/>
              <w:right w:val="nil"/>
            </w:tcBorders>
          </w:tcPr>
          <w:p w14:paraId="46032186" w14:textId="05125CDE" w:rsidR="0082781E" w:rsidRDefault="0082781E" w:rsidP="0082781E">
            <w:pPr>
              <w:pStyle w:val="BodyText"/>
              <w:jc w:val="both"/>
              <w:rPr>
                <w:lang w:val="es-DO"/>
              </w:rPr>
            </w:pPr>
            <w:r w:rsidRPr="003240E1">
              <w:rPr>
                <w:b/>
                <w:bCs/>
                <w:lang w:val="es-DO"/>
              </w:rPr>
              <w:lastRenderedPageBreak/>
              <w:t xml:space="preserve">Gráfico </w:t>
            </w:r>
            <w:r>
              <w:rPr>
                <w:b/>
                <w:bCs/>
                <w:lang w:val="es-DO"/>
              </w:rPr>
              <w:t>2</w:t>
            </w:r>
          </w:p>
        </w:tc>
        <w:tc>
          <w:tcPr>
            <w:tcW w:w="4788" w:type="dxa"/>
            <w:tcBorders>
              <w:top w:val="nil"/>
              <w:left w:val="nil"/>
              <w:bottom w:val="nil"/>
              <w:right w:val="nil"/>
            </w:tcBorders>
          </w:tcPr>
          <w:p w14:paraId="0129ED52" w14:textId="5783A96F" w:rsidR="0082781E" w:rsidRDefault="0082781E" w:rsidP="0082781E">
            <w:pPr>
              <w:pStyle w:val="BodyText"/>
              <w:jc w:val="both"/>
              <w:rPr>
                <w:lang w:val="es-DO"/>
              </w:rPr>
            </w:pPr>
            <w:r w:rsidRPr="003240E1">
              <w:rPr>
                <w:b/>
                <w:bCs/>
                <w:lang w:val="es-DO"/>
              </w:rPr>
              <w:t xml:space="preserve">Gráfico </w:t>
            </w:r>
            <w:r>
              <w:rPr>
                <w:b/>
                <w:bCs/>
                <w:lang w:val="es-DO"/>
              </w:rPr>
              <w:t>3</w:t>
            </w:r>
          </w:p>
        </w:tc>
      </w:tr>
      <w:tr w:rsidR="0082781E" w14:paraId="3D3C1659" w14:textId="77777777" w:rsidTr="009B10C3">
        <w:tc>
          <w:tcPr>
            <w:tcW w:w="4788" w:type="dxa"/>
            <w:tcBorders>
              <w:top w:val="nil"/>
              <w:left w:val="nil"/>
              <w:bottom w:val="nil"/>
              <w:right w:val="nil"/>
            </w:tcBorders>
          </w:tcPr>
          <w:p w14:paraId="5A7496AD" w14:textId="38523D67" w:rsidR="0082781E" w:rsidRDefault="0082781E" w:rsidP="0082781E">
            <w:pPr>
              <w:pStyle w:val="BodyText"/>
              <w:jc w:val="center"/>
              <w:rPr>
                <w:lang w:val="es-DO"/>
              </w:rPr>
            </w:pPr>
            <w:r w:rsidRPr="003240E1">
              <w:rPr>
                <w:noProof/>
                <w:lang w:val="es-DO"/>
              </w:rPr>
              <w:drawing>
                <wp:inline distT="0" distB="0" distL="0" distR="0" wp14:anchorId="460A6CF0" wp14:editId="3701457C">
                  <wp:extent cx="2786743" cy="20574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practica1_files/figure-docx/unnamed-chunk-4-1.png"/>
                          <pic:cNvPicPr>
                            <a:picLocks noChangeAspect="1" noChangeArrowheads="1"/>
                          </pic:cNvPicPr>
                        </pic:nvPicPr>
                        <pic:blipFill>
                          <a:blip r:embed="rId6"/>
                          <a:stretch>
                            <a:fillRect/>
                          </a:stretch>
                        </pic:blipFill>
                        <pic:spPr bwMode="auto">
                          <a:xfrm>
                            <a:off x="0" y="0"/>
                            <a:ext cx="2791586" cy="2060975"/>
                          </a:xfrm>
                          <a:prstGeom prst="rect">
                            <a:avLst/>
                          </a:prstGeom>
                          <a:noFill/>
                          <a:ln w="9525">
                            <a:noFill/>
                            <a:headEnd/>
                            <a:tailEnd/>
                          </a:ln>
                        </pic:spPr>
                      </pic:pic>
                    </a:graphicData>
                  </a:graphic>
                </wp:inline>
              </w:drawing>
            </w:r>
          </w:p>
        </w:tc>
        <w:tc>
          <w:tcPr>
            <w:tcW w:w="4788" w:type="dxa"/>
            <w:tcBorders>
              <w:top w:val="nil"/>
              <w:left w:val="nil"/>
              <w:bottom w:val="nil"/>
              <w:right w:val="nil"/>
            </w:tcBorders>
          </w:tcPr>
          <w:p w14:paraId="45C54D87" w14:textId="6EE64FA8" w:rsidR="0082781E" w:rsidRDefault="0082781E" w:rsidP="0082781E">
            <w:pPr>
              <w:pStyle w:val="BodyText"/>
              <w:jc w:val="center"/>
              <w:rPr>
                <w:lang w:val="es-DO"/>
              </w:rPr>
            </w:pPr>
            <w:r w:rsidRPr="003240E1">
              <w:rPr>
                <w:noProof/>
                <w:lang w:val="es-DO"/>
              </w:rPr>
              <w:drawing>
                <wp:inline distT="0" distB="0" distL="0" distR="0" wp14:anchorId="148AD4C6" wp14:editId="56154217">
                  <wp:extent cx="2808081" cy="20574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practica1_files/figure-docx/unnamed-chunk-5-1.png"/>
                          <pic:cNvPicPr>
                            <a:picLocks noChangeAspect="1" noChangeArrowheads="1"/>
                          </pic:cNvPicPr>
                        </pic:nvPicPr>
                        <pic:blipFill>
                          <a:blip r:embed="rId7"/>
                          <a:stretch>
                            <a:fillRect/>
                          </a:stretch>
                        </pic:blipFill>
                        <pic:spPr bwMode="auto">
                          <a:xfrm>
                            <a:off x="0" y="0"/>
                            <a:ext cx="2838060" cy="2079365"/>
                          </a:xfrm>
                          <a:prstGeom prst="rect">
                            <a:avLst/>
                          </a:prstGeom>
                          <a:noFill/>
                          <a:ln w="9525">
                            <a:noFill/>
                            <a:headEnd/>
                            <a:tailEnd/>
                          </a:ln>
                        </pic:spPr>
                      </pic:pic>
                    </a:graphicData>
                  </a:graphic>
                </wp:inline>
              </w:drawing>
            </w:r>
          </w:p>
        </w:tc>
      </w:tr>
    </w:tbl>
    <w:p w14:paraId="244F8F5C" w14:textId="4EB0C848" w:rsidR="0082781E" w:rsidRPr="003240E1" w:rsidRDefault="0082781E" w:rsidP="0082781E">
      <w:pPr>
        <w:pStyle w:val="BodyText"/>
        <w:jc w:val="both"/>
        <w:rPr>
          <w:lang w:val="es-DO"/>
        </w:rPr>
      </w:pPr>
      <w:r>
        <w:rPr>
          <w:lang w:val="es-DO"/>
        </w:rPr>
        <w:t xml:space="preserve">En los gráficos temporales se </w:t>
      </w:r>
      <w:r w:rsidRPr="003240E1">
        <w:rPr>
          <w:lang w:val="es-DO"/>
        </w:rPr>
        <w:t>evidencia un punto de inflexión claro alrededor de 2020, momento en que tanto los instrumentos de pago como las transferencias electrónicas experimentaron aceleraciones significativas en sus tasas de crecimiento. El volumen de transacciones electrónicas mostró un crecimiento exponencial particularmente pronunciado durante 2020-2022, consolidándose posteriormente en niveles sustancialmente superiores a los observados en la década anterior.</w:t>
      </w:r>
    </w:p>
    <w:p w14:paraId="3596CA5B" w14:textId="77777777" w:rsidR="00E42D5E" w:rsidRPr="003240E1" w:rsidRDefault="00000000" w:rsidP="003240E1">
      <w:pPr>
        <w:pStyle w:val="Heading1"/>
        <w:jc w:val="both"/>
        <w:rPr>
          <w:lang w:val="es-DO"/>
        </w:rPr>
      </w:pPr>
      <w:bookmarkStart w:id="16" w:name="conclusión"/>
      <w:bookmarkStart w:id="17" w:name="_Toc199274310"/>
      <w:bookmarkEnd w:id="6"/>
      <w:bookmarkEnd w:id="8"/>
      <w:bookmarkEnd w:id="14"/>
      <w:r w:rsidRPr="003240E1">
        <w:rPr>
          <w:lang w:val="es-DO"/>
        </w:rPr>
        <w:t>Conclusión</w:t>
      </w:r>
      <w:bookmarkEnd w:id="17"/>
    </w:p>
    <w:p w14:paraId="74DDDBAC" w14:textId="77777777" w:rsidR="00E42D5E" w:rsidRPr="003240E1" w:rsidRDefault="00000000" w:rsidP="003240E1">
      <w:pPr>
        <w:pStyle w:val="FirstParagraph"/>
        <w:jc w:val="both"/>
        <w:rPr>
          <w:lang w:val="es-DO"/>
        </w:rPr>
      </w:pPr>
      <w:r w:rsidRPr="003240E1">
        <w:rPr>
          <w:lang w:val="es-DO"/>
        </w:rPr>
        <w:t>Los hallazgos más relevantes del análisis confirman la hipótesis de un cambio estructural en el sistema de pagos dominicano, catalizado por la pandemia de COVID-19. El crecimiento del 141% en instrumentos de pago y del 290% en transferencias electrónicas entre los períodos pre y post-COVID refleja una aceleración sin precedentes en la digitalización financiera del país.</w:t>
      </w:r>
    </w:p>
    <w:p w14:paraId="7E4154C9" w14:textId="77777777" w:rsidR="00E42D5E" w:rsidRPr="003240E1" w:rsidRDefault="00000000" w:rsidP="003240E1">
      <w:pPr>
        <w:pStyle w:val="BodyText"/>
        <w:jc w:val="both"/>
        <w:rPr>
          <w:lang w:val="es-DO"/>
        </w:rPr>
      </w:pPr>
      <w:r w:rsidRPr="003240E1">
        <w:rPr>
          <w:lang w:val="es-DO"/>
        </w:rPr>
        <w:t>La alta correlación entre las variables de pagos electrónicos y el PIB nominal (superiores a 0.94) sugiere que la adopción tecnológica en el sector financiero actúa como un motor complementario del crecimiento económico. La sincronización observada entre diferentes modalidades de pago electrónico indica la existencia de efectos de red y complementariedades tecnológicas que refuerzan mutuamente la adopción digital.</w:t>
      </w:r>
    </w:p>
    <w:p w14:paraId="2B5E943D" w14:textId="77777777" w:rsidR="00E42D5E" w:rsidRPr="003240E1" w:rsidRDefault="00000000" w:rsidP="003240E1">
      <w:pPr>
        <w:pStyle w:val="BodyText"/>
        <w:jc w:val="both"/>
        <w:rPr>
          <w:lang w:val="es-DO"/>
        </w:rPr>
      </w:pPr>
      <w:r w:rsidRPr="003240E1">
        <w:rPr>
          <w:lang w:val="es-DO"/>
        </w:rPr>
        <w:t xml:space="preserve">Una pregunta de investigación futura relevante sería: </w:t>
      </w:r>
      <w:r w:rsidRPr="007C564C">
        <w:rPr>
          <w:b/>
          <w:bCs/>
          <w:i/>
          <w:iCs/>
          <w:lang w:val="es-DO"/>
        </w:rPr>
        <w:t>¿En qué medida la aceleración de los pagos electrónicos ha contribuido a mejorar la inclusión financiera y reducir la economía informal en República Dominicana?</w:t>
      </w:r>
      <w:r w:rsidRPr="003240E1">
        <w:rPr>
          <w:lang w:val="es-DO"/>
        </w:rPr>
        <w:t xml:space="preserve"> Esta línea de indagación podría complementarse con el análisis de variables socioeconómicas desagregadas por regiones y estratos poblacionales para evaluar el impacto distributivo de la digitalización financiera.</w:t>
      </w:r>
    </w:p>
    <w:p w14:paraId="6669AD51" w14:textId="77777777" w:rsidR="00E42D5E" w:rsidRPr="003240E1" w:rsidRDefault="00000000" w:rsidP="003240E1">
      <w:pPr>
        <w:pStyle w:val="Heading1"/>
        <w:jc w:val="both"/>
        <w:rPr>
          <w:lang w:val="es-DO"/>
        </w:rPr>
      </w:pPr>
      <w:bookmarkStart w:id="18" w:name="reflexión-sobre-escritura-económica"/>
      <w:bookmarkStart w:id="19" w:name="_Toc199274311"/>
      <w:bookmarkEnd w:id="16"/>
      <w:r w:rsidRPr="003240E1">
        <w:rPr>
          <w:lang w:val="es-DO"/>
        </w:rPr>
        <w:lastRenderedPageBreak/>
        <w:t>Reflexión sobre Escritura Económica</w:t>
      </w:r>
      <w:bookmarkEnd w:id="19"/>
    </w:p>
    <w:p w14:paraId="4D878DB6" w14:textId="02F4BB2D" w:rsidR="00E42D5E" w:rsidRPr="003240E1" w:rsidRDefault="00E42D5E" w:rsidP="009B10C3">
      <w:pPr>
        <w:pStyle w:val="Heading1"/>
        <w:jc w:val="both"/>
        <w:rPr>
          <w:lang w:val="es-DO"/>
        </w:rPr>
      </w:pPr>
      <w:bookmarkStart w:id="20" w:name="anexos"/>
      <w:bookmarkStart w:id="21" w:name="matrix-de-correlación"/>
      <w:bookmarkEnd w:id="18"/>
      <w:bookmarkEnd w:id="20"/>
      <w:bookmarkEnd w:id="21"/>
    </w:p>
    <w:sectPr w:rsidR="00E42D5E" w:rsidRPr="003240E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38C5AF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699010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E42D5E"/>
    <w:rsid w:val="003240E1"/>
    <w:rsid w:val="007C564C"/>
    <w:rsid w:val="0082781E"/>
    <w:rsid w:val="00855C1F"/>
    <w:rsid w:val="0098517B"/>
    <w:rsid w:val="009B10C3"/>
    <w:rsid w:val="00E42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859CC9"/>
  <w15:docId w15:val="{C8118552-F195-416C-9E94-66184A5A3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2">
    <w:name w:val="toc 2"/>
    <w:basedOn w:val="Normal"/>
    <w:next w:val="Normal"/>
    <w:autoRedefine/>
    <w:uiPriority w:val="39"/>
    <w:rsid w:val="003240E1"/>
    <w:pPr>
      <w:spacing w:after="100"/>
      <w:ind w:left="240"/>
    </w:pPr>
  </w:style>
  <w:style w:type="paragraph" w:styleId="TOC1">
    <w:name w:val="toc 1"/>
    <w:basedOn w:val="Normal"/>
    <w:next w:val="Normal"/>
    <w:autoRedefine/>
    <w:uiPriority w:val="39"/>
    <w:rsid w:val="003240E1"/>
    <w:pPr>
      <w:spacing w:after="100"/>
    </w:pPr>
  </w:style>
  <w:style w:type="paragraph" w:styleId="TOC3">
    <w:name w:val="toc 3"/>
    <w:basedOn w:val="Normal"/>
    <w:next w:val="Normal"/>
    <w:autoRedefine/>
    <w:uiPriority w:val="39"/>
    <w:rsid w:val="003240E1"/>
    <w:pPr>
      <w:spacing w:after="100"/>
      <w:ind w:left="480"/>
    </w:pPr>
  </w:style>
  <w:style w:type="table" w:styleId="TableGrid">
    <w:name w:val="Table Grid"/>
    <w:basedOn w:val="TableNormal"/>
    <w:rsid w:val="0082781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1102</Words>
  <Characters>7098</Characters>
  <Application>Microsoft Office Word</Application>
  <DocSecurity>0</DocSecurity>
  <Lines>208</Lines>
  <Paragraphs>132</Paragraphs>
  <ScaleCrop>false</ScaleCrop>
  <HeadingPairs>
    <vt:vector size="2" baseType="variant">
      <vt:variant>
        <vt:lpstr>Title</vt:lpstr>
      </vt:variant>
      <vt:variant>
        <vt:i4>1</vt:i4>
      </vt:variant>
    </vt:vector>
  </HeadingPairs>
  <TitlesOfParts>
    <vt:vector size="1" baseType="lpstr">
      <vt:lpstr>Análisis Exploratorio de las Transferencias Electrónicas en República Dominicana: Un Estudio Pre y Post-COVID</vt:lpstr>
    </vt:vector>
  </TitlesOfParts>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Exploratorio de las Transferencias Electrónicas en República Dominicana: Un Estudio Pre y Post-COVID</dc:title>
  <dc:creator>José Ant. Burgos (25-0140)</dc:creator>
  <cp:keywords/>
  <cp:lastModifiedBy>Jose Burgos</cp:lastModifiedBy>
  <cp:revision>4</cp:revision>
  <dcterms:created xsi:type="dcterms:W3CDTF">2025-05-28T01:07:00Z</dcterms:created>
  <dcterms:modified xsi:type="dcterms:W3CDTF">2025-05-28T01:43:00Z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2025-05-28</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ainfont">
    <vt:lpwstr>Times New Roman</vt:lpwstr>
  </property>
  <property fmtid="{D5CDD505-2E9C-101B-9397-08002B2CF9AE}" pid="12" name="message">
    <vt:lpwstr>False</vt:lpwstr>
  </property>
  <property fmtid="{D5CDD505-2E9C-101B-9397-08002B2CF9AE}" pid="13" name="subtitle">
    <vt:lpwstr>Práctica 1 - Seminario de Economía Aplicada 1</vt:lpwstr>
  </property>
  <property fmtid="{D5CDD505-2E9C-101B-9397-08002B2CF9AE}" pid="14" name="toc-title">
    <vt:lpwstr>Contenido</vt:lpwstr>
  </property>
  <property fmtid="{D5CDD505-2E9C-101B-9397-08002B2CF9AE}" pid="15" name="GrammarlyDocumentId">
    <vt:lpwstr>f6203b67-6bba-4268-b358-3c434dd78763</vt:lpwstr>
  </property>
</Properties>
</file>