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Proyecto 1 — Red Metropolitana de Transporte</w:t>
      </w:r>
    </w:p>
    <w:p>
      <w:pPr>
        <w:jc w:val="center"/>
      </w:pPr>
      <w:r>
        <w:rPr>
          <w:b/>
        </w:rPr>
        <w:t>FASE 1 — Desglose de la arquitectura</w:t>
      </w:r>
    </w:p>
    <w:p>
      <w:pPr>
        <w:jc w:val="center"/>
      </w:pPr>
      <w:r>
        <w:t>Universidad Rafael Landívar | Ciencia de Datos | Segundo Semestre 2026</w:t>
      </w:r>
    </w:p>
    <w:p>
      <w:pPr>
        <w:pStyle w:val="Heading1"/>
      </w:pPr>
      <w:r>
        <w:t>1. Resumen de la solución</w:t>
      </w:r>
    </w:p>
    <w:p>
      <w:r>
        <w:t>La arquitectura integra cuatro operadores con formatos incompatibles mediante tres vías de ingesta. Transmetro y Aerómetro se simulan como streaming con Kafka; los catálogos, MetroRiel y Transurbano se procesan por batch; el padrón se procesa como CDC. Bronze conserva el dato crudo, Staging es transitorio, Silver normaliza e integra y Gold expone un modelo dimensional. Los registros que incumplen reglas de calidad se conservan en cuarentena.</w:t>
      </w:r>
    </w:p>
    <w:p>
      <w:r>
        <w:t>Regla de arquitectura: Gold consume exclusivamente modelos Silver. No se establecen dependencias Gold → Bronze.</w:t>
      </w:r>
    </w:p>
    <w:p>
      <w:pPr>
        <w:pStyle w:val="Heading1"/>
      </w:pPr>
      <w:r>
        <w:t>2. 1.1 Ingesta y capa Bronze</w:t>
      </w:r>
    </w:p>
    <w:p>
      <w:r>
        <w:t>Transurbano se ingiere por Batch. El archivo recibido contiene transacciones cerradas en CSV y no existe en el insumo una indicación de llegada evento-a-evento. La consecuencia es una mayor latencia que un flujo streaming, pero se obtiene una carga reproducible y coherente con el formato recibido.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Archivo</w:t>
            </w:r>
          </w:p>
        </w:tc>
        <w:tc>
          <w:tcPr>
            <w:tcW w:type="dxa" w:w="5040"/>
            <w:shd w:fill="D9EAF7"/>
          </w:tcPr>
          <w:p>
            <w:r>
              <w:t>Filas medidas</w:t>
            </w:r>
          </w:p>
        </w:tc>
      </w:tr>
      <w:tr>
        <w:tc>
          <w:tcPr>
            <w:tcW w:type="dxa" w:w="5040"/>
          </w:tcPr>
          <w:p>
            <w:r>
              <w:t>tm_estaciones.csv</w:t>
            </w:r>
          </w:p>
        </w:tc>
        <w:tc>
          <w:tcPr>
            <w:tcW w:type="dxa" w:w="5040"/>
          </w:tcPr>
          <w:p>
            <w:r>
              <w:t>104</w:t>
            </w:r>
          </w:p>
        </w:tc>
      </w:tr>
      <w:tr>
        <w:tc>
          <w:tcPr>
            <w:tcW w:type="dxa" w:w="5040"/>
          </w:tcPr>
          <w:p>
            <w:r>
              <w:t>tu_paradas.csv</w:t>
            </w:r>
          </w:p>
        </w:tc>
        <w:tc>
          <w:tcPr>
            <w:tcW w:type="dxa" w:w="5040"/>
          </w:tcPr>
          <w:p>
            <w:r>
              <w:t>328</w:t>
            </w:r>
          </w:p>
        </w:tc>
      </w:tr>
      <w:tr>
        <w:tc>
          <w:tcPr>
            <w:tcW w:type="dxa" w:w="5040"/>
          </w:tcPr>
          <w:p>
            <w:r>
              <w:t>mr_estaciones.csv</w:t>
            </w:r>
          </w:p>
        </w:tc>
        <w:tc>
          <w:tcPr>
            <w:tcW w:type="dxa" w:w="504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am_estaciones.csv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t>transmetro_validaciones.csv</w:t>
            </w:r>
          </w:p>
        </w:tc>
        <w:tc>
          <w:tcPr>
            <w:tcW w:type="dxa" w:w="5040"/>
          </w:tcPr>
          <w:p>
            <w:r>
              <w:t>363221</w:t>
            </w:r>
          </w:p>
        </w:tc>
      </w:tr>
      <w:tr>
        <w:tc>
          <w:tcPr>
            <w:tcW w:type="dxa" w:w="5040"/>
          </w:tcPr>
          <w:p>
            <w:r>
              <w:t>transurbano_transacciones.csv</w:t>
            </w:r>
          </w:p>
        </w:tc>
        <w:tc>
          <w:tcPr>
            <w:tcW w:type="dxa" w:w="5040"/>
          </w:tcPr>
          <w:p>
            <w:r>
              <w:t>832791</w:t>
            </w:r>
          </w:p>
        </w:tc>
      </w:tr>
      <w:tr>
        <w:tc>
          <w:tcPr>
            <w:tcW w:type="dxa" w:w="5040"/>
          </w:tcPr>
          <w:p>
            <w:r>
              <w:t>metroriel_viajes.jsonl</w:t>
            </w:r>
          </w:p>
        </w:tc>
        <w:tc>
          <w:tcPr>
            <w:tcW w:type="dxa" w:w="5040"/>
          </w:tcPr>
          <w:p>
            <w:r>
              <w:t>299100</w:t>
            </w:r>
          </w:p>
        </w:tc>
      </w:tr>
      <w:tr>
        <w:tc>
          <w:tcPr>
            <w:tcW w:type="dxa" w:w="5040"/>
          </w:tcPr>
          <w:p>
            <w:r>
              <w:t>aerometro_boardings.csv</w:t>
            </w:r>
          </w:p>
        </w:tc>
        <w:tc>
          <w:tcPr>
            <w:tcW w:type="dxa" w:w="5040"/>
          </w:tcPr>
          <w:p>
            <w:r>
              <w:t>203554</w:t>
            </w:r>
          </w:p>
        </w:tc>
      </w:tr>
      <w:tr>
        <w:tc>
          <w:tcPr>
            <w:tcW w:type="dxa" w:w="5040"/>
          </w:tcPr>
          <w:p>
            <w:r>
              <w:t>cdc_padron_usuarios.csv</w:t>
            </w:r>
          </w:p>
        </w:tc>
        <w:tc>
          <w:tcPr>
            <w:tcW w:type="dxa" w:w="5040"/>
          </w:tcPr>
          <w:p>
            <w:r>
              <w:t>31050</w:t>
            </w:r>
          </w:p>
        </w:tc>
      </w:tr>
    </w:tbl>
    <w:p>
      <w:r>
        <w:t>Bronze se implementa como lake local particionado por fecha. Cada archivo se conserva sin transformar y el manifiesto registra SHA-256, cantidad de filas, timestamp de ingesta y ruta. El hash evita volver a incorporar exactamente el mismo archivo en una segunda ejecución.</w:t>
      </w:r>
    </w:p>
    <w:p>
      <w:pPr>
        <w:pStyle w:val="Heading1"/>
      </w:pPr>
      <w:r>
        <w:t>3. 1.2 Staging y CDC</w:t>
      </w:r>
    </w:p>
    <w:p>
      <w:r>
        <w:t>El CDC contiene 31,050 eventos: 10,800 INSERT, 16,200 UPDATE y 4,050 DELETE. Se aplica la secuencia `seq` y los DELETE no eliminan físicamente la tarjeta: generan una versión inactiva.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Métrica CDC</w:t>
            </w:r>
          </w:p>
        </w:tc>
        <w:tc>
          <w:tcPr>
            <w:tcW w:type="dxa" w:w="5040"/>
            <w:shd w:fill="D9EAF7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INSERT</w:t>
            </w:r>
          </w:p>
        </w:tc>
        <w:tc>
          <w:tcPr>
            <w:tcW w:type="dxa" w:w="5040"/>
          </w:tcPr>
          <w:p>
            <w:r>
              <w:t>10800</w:t>
            </w:r>
          </w:p>
        </w:tc>
      </w:tr>
      <w:tr>
        <w:tc>
          <w:tcPr>
            <w:tcW w:type="dxa" w:w="5040"/>
          </w:tcPr>
          <w:p>
            <w:r>
              <w:t>UPDATE</w:t>
            </w:r>
          </w:p>
        </w:tc>
        <w:tc>
          <w:tcPr>
            <w:tcW w:type="dxa" w:w="5040"/>
          </w:tcPr>
          <w:p>
            <w:r>
              <w:t>16200</w:t>
            </w:r>
          </w:p>
        </w:tc>
      </w:tr>
      <w:tr>
        <w:tc>
          <w:tcPr>
            <w:tcW w:type="dxa" w:w="5040"/>
          </w:tcPr>
          <w:p>
            <w:r>
              <w:t>DELETE</w:t>
            </w:r>
          </w:p>
        </w:tc>
        <w:tc>
          <w:tcPr>
            <w:tcW w:type="dxa" w:w="5040"/>
          </w:tcPr>
          <w:p>
            <w:r>
              <w:t>4050</w:t>
            </w:r>
          </w:p>
        </w:tc>
      </w:tr>
      <w:tr>
        <w:tc>
          <w:tcPr>
            <w:tcW w:type="dxa" w:w="5040"/>
          </w:tcPr>
          <w:p>
            <w:r>
              <w:t>Llaves distintas observadas</w:t>
            </w:r>
          </w:p>
        </w:tc>
        <w:tc>
          <w:tcPr>
            <w:tcW w:type="dxa" w:w="5040"/>
          </w:tcPr>
          <w:p>
            <w:r>
              <w:t>22463</w:t>
            </w:r>
          </w:p>
        </w:tc>
      </w:tr>
      <w:tr>
        <w:tc>
          <w:tcPr>
            <w:tcW w:type="dxa" w:w="5040"/>
          </w:tcPr>
          <w:p>
            <w:r>
              <w:t>Llaves con estado final activo</w:t>
            </w:r>
          </w:p>
        </w:tc>
        <w:tc>
          <w:tcPr>
            <w:tcW w:type="dxa" w:w="5040"/>
          </w:tcPr>
          <w:p>
            <w:r>
              <w:t>19469</w:t>
            </w:r>
          </w:p>
        </w:tc>
      </w:tr>
      <w:tr>
        <w:tc>
          <w:tcPr>
            <w:tcW w:type="dxa" w:w="5040"/>
          </w:tcPr>
          <w:p>
            <w:r>
              <w:t>Llaves con estado final inactivo</w:t>
            </w:r>
          </w:p>
        </w:tc>
        <w:tc>
          <w:tcPr>
            <w:tcW w:type="dxa" w:w="5040"/>
          </w:tcPr>
          <w:p>
            <w:r>
              <w:t>2994</w:t>
            </w:r>
          </w:p>
        </w:tc>
      </w:tr>
      <w:tr>
        <w:tc>
          <w:tcPr>
            <w:tcW w:type="dxa" w:w="5040"/>
          </w:tcPr>
          <w:p>
            <w:r>
              <w:t>Eventos con SIN-TARJETA</w:t>
            </w:r>
          </w:p>
        </w:tc>
        <w:tc>
          <w:tcPr>
            <w:tcW w:type="dxa" w:w="5040"/>
          </w:tcPr>
          <w:p>
            <w:r>
              <w:t>2206</w:t>
            </w:r>
          </w:p>
        </w:tc>
      </w:tr>
    </w:tbl>
    <w:p>
      <w:r>
        <w:t>El generador introduce deliberadamente una ambigüedad: la columna `tarjeta` del CDC puede contener formatos de Transmetro, Transurbano, MetroRiel o `SIN-TARJETA`. La solución conserva `formato_llave` y no inventa identidad para `SIN-TARJETA`.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Operador</w:t>
            </w:r>
          </w:p>
        </w:tc>
        <w:tc>
          <w:tcPr>
            <w:tcW w:type="dxa" w:w="5040"/>
            <w:shd w:fill="D9EAF7"/>
          </w:tcPr>
          <w:p>
            <w:r>
              <w:t>Usuarios únicos observados en operación</w:t>
            </w:r>
          </w:p>
        </w:tc>
      </w:tr>
      <w:tr>
        <w:tc>
          <w:tcPr>
            <w:tcW w:type="dxa" w:w="5040"/>
          </w:tcPr>
          <w:p>
            <w:r>
              <w:t>Transmetro</w:t>
            </w:r>
          </w:p>
        </w:tc>
        <w:tc>
          <w:tcPr>
            <w:tcW w:type="dxa" w:w="5040"/>
          </w:tcPr>
          <w:p>
            <w:r>
              <w:t>43255</w:t>
            </w:r>
          </w:p>
        </w:tc>
      </w:tr>
      <w:tr>
        <w:tc>
          <w:tcPr>
            <w:tcW w:type="dxa" w:w="5040"/>
          </w:tcPr>
          <w:p>
            <w:r>
              <w:t>Transurbano</w:t>
            </w:r>
          </w:p>
        </w:tc>
        <w:tc>
          <w:tcPr>
            <w:tcW w:type="dxa" w:w="5040"/>
          </w:tcPr>
          <w:p>
            <w:r>
              <w:t>36567</w:t>
            </w:r>
          </w:p>
        </w:tc>
      </w:tr>
      <w:tr>
        <w:tc>
          <w:tcPr>
            <w:tcW w:type="dxa" w:w="5040"/>
          </w:tcPr>
          <w:p>
            <w:r>
              <w:t>MetroRiel</w:t>
            </w:r>
          </w:p>
        </w:tc>
        <w:tc>
          <w:tcPr>
            <w:tcW w:type="dxa" w:w="5040"/>
          </w:tcPr>
          <w:p>
            <w:r>
              <w:t>22885</w:t>
            </w:r>
          </w:p>
        </w:tc>
      </w:tr>
      <w:tr>
        <w:tc>
          <w:tcPr>
            <w:tcW w:type="dxa" w:w="5040"/>
          </w:tcPr>
          <w:p>
            <w:r>
              <w:t>Aerómetro</w:t>
            </w:r>
          </w:p>
        </w:tc>
        <w:tc>
          <w:tcPr>
            <w:tcW w:type="dxa" w:w="5040"/>
          </w:tcPr>
          <w:p>
            <w:r>
              <w:t>14496</w:t>
            </w:r>
          </w:p>
        </w:tc>
      </w:tr>
    </w:tbl>
    <w:p>
      <w:pPr>
        <w:pStyle w:val="Heading1"/>
      </w:pPr>
      <w:r>
        <w:t>4. 1.3 Capa Silver</w:t>
      </w:r>
    </w:p>
    <w:p>
      <w:r>
        <w:t>Silver unifica timestamps, moneda, zonas y llaves. Transurbano convierte `monto_centavos / 100`; Aerómetro convierte UTC a hora local de Guatemala restando seis horas; sectores como Z10 se normalizan a `Zona 10`; y MetroRiel se aplana desde JSON anidado.</w:t>
      </w:r>
    </w:p>
    <w:p>
      <w:pPr>
        <w:pStyle w:val="Heading2"/>
      </w:pPr>
      <w:r>
        <w:t>4.1 Identidad de usuario</w:t>
      </w:r>
    </w:p>
    <w:p>
      <w:r>
        <w:t>Para TM, TU y MR se usa como aproximación el componente numérico de la llave: `TC-00012345`, `0000012345` y `MR0012345` se normalizan a un candidato común `N:00012345`. Esta regla es defendible únicamente porque las llaves presentan esa convención en los datos sintéticos. Aerómetro conserva una identidad separada `AM:&lt;hash&gt;` porque el sistema solo entrega un hash y no existe una tabla de correspondencia. Antes de Gold, la identidad canónica se seudonimiza con SHA-256 y una sal local.</w:t>
      </w:r>
    </w:p>
    <w:p>
      <w:r>
        <w:t>Limitación: en un sistema real esta estrategia necesitaría validación o una tabla maestra de identidad; no se afirma que una coincidencia numérica sea suficiente fuera de este conjunto sintético.</w:t>
      </w:r>
    </w:p>
    <w:p>
      <w:pPr>
        <w:pStyle w:val="Heading2"/>
      </w:pPr>
      <w:r>
        <w:t>4.2 Calidad y cuarentena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Regla</w:t>
            </w:r>
          </w:p>
        </w:tc>
        <w:tc>
          <w:tcPr>
            <w:tcW w:type="dxa" w:w="3360"/>
            <w:shd w:fill="D9EAF7"/>
          </w:tcPr>
          <w:p>
            <w:r>
              <w:t>Registros medidos</w:t>
            </w:r>
          </w:p>
        </w:tc>
        <w:tc>
          <w:tcPr>
            <w:tcW w:type="dxa" w:w="3360"/>
            <w:shd w:fill="D9EAF7"/>
          </w:tcPr>
          <w:p>
            <w:r>
              <w:t>Tratamiento</w:t>
            </w:r>
          </w:p>
        </w:tc>
      </w:tr>
      <w:tr>
        <w:tc>
          <w:tcPr>
            <w:tcW w:type="dxa" w:w="3360"/>
          </w:tcPr>
          <w:p>
            <w:r>
              <w:t>Duplicado Transmetro (validacion_id)</w:t>
            </w:r>
          </w:p>
        </w:tc>
        <w:tc>
          <w:tcPr>
            <w:tcW w:type="dxa" w:w="3360"/>
          </w:tcPr>
          <w:p>
            <w:r>
              <w:t>1115</w:t>
            </w:r>
          </w:p>
        </w:tc>
        <w:tc>
          <w:tcPr>
            <w:tcW w:type="dxa" w:w="3360"/>
          </w:tcPr>
          <w:p>
            <w:r>
              <w:t>Cuarentena: duplicado_evento</w:t>
            </w:r>
          </w:p>
        </w:tc>
      </w:tr>
      <w:tr>
        <w:tc>
          <w:tcPr>
            <w:tcW w:type="dxa" w:w="3360"/>
          </w:tcPr>
          <w:p>
            <w:r>
              <w:t>Transurbano sin cod_parada</w:t>
            </w:r>
          </w:p>
        </w:tc>
        <w:tc>
          <w:tcPr>
            <w:tcW w:type="dxa" w:w="3360"/>
          </w:tcPr>
          <w:p>
            <w:r>
              <w:t>4189</w:t>
            </w:r>
          </w:p>
        </w:tc>
        <w:tc>
          <w:tcPr>
            <w:tcW w:type="dxa" w:w="3360"/>
          </w:tcPr>
          <w:p>
            <w:r>
              <w:t>Cuarentena: parada_nula</w:t>
            </w:r>
          </w:p>
        </w:tc>
      </w:tr>
      <w:tr>
        <w:tc>
          <w:tcPr>
            <w:tcW w:type="dxa" w:w="3360"/>
          </w:tcPr>
          <w:p>
            <w:r>
              <w:t>Transurbano con fecha futura</w:t>
            </w:r>
          </w:p>
        </w:tc>
        <w:tc>
          <w:tcPr>
            <w:tcW w:type="dxa" w:w="3360"/>
          </w:tcPr>
          <w:p>
            <w:r>
              <w:t>817</w:t>
            </w:r>
          </w:p>
        </w:tc>
        <w:tc>
          <w:tcPr>
            <w:tcW w:type="dxa" w:w="3360"/>
          </w:tcPr>
          <w:p>
            <w:r>
              <w:t>Cuarentena: fecha_futura</w:t>
            </w:r>
          </w:p>
        </w:tc>
      </w:tr>
      <w:tr>
        <w:tc>
          <w:tcPr>
            <w:tcW w:type="dxa" w:w="3360"/>
          </w:tcPr>
          <w:p>
            <w:r>
              <w:t>MetroRiel sin salida</w:t>
            </w:r>
          </w:p>
        </w:tc>
        <w:tc>
          <w:tcPr>
            <w:tcW w:type="dxa" w:w="3360"/>
          </w:tcPr>
          <w:p>
            <w:r>
              <w:t>3589</w:t>
            </w:r>
          </w:p>
        </w:tc>
        <w:tc>
          <w:tcPr>
            <w:tcW w:type="dxa" w:w="3360"/>
          </w:tcPr>
          <w:p>
            <w:r>
              <w:t>Cuarentena: viaje_sin_salida</w:t>
            </w:r>
          </w:p>
        </w:tc>
      </w:tr>
    </w:tbl>
    <w:p>
      <w:r>
        <w:t>Los registros se preservan en una tabla de cuarentena con fuente, identificador y motivo. Los estados 7 y 9 de Transurbano se conservan en Silver como transacciones válidas desde el punto de vista técnico, pero no se contabilizan como abordajes exitosos en Gold.</w:t>
      </w:r>
    </w:p>
    <w:p>
      <w:pPr>
        <w:pStyle w:val="Heading2"/>
      </w:pPr>
      <w:r>
        <w:t>4.3 SCD Tipo 2</w:t>
      </w:r>
    </w:p>
    <w:p>
      <w:r>
        <w:t>El modelo `silver_padron_scd2` conserva una versión por evento CDC. `valido_desde` corresponde a `commit_ts`; `valido_hasta` se obtiene con el siguiente cambio de la misma tarjeta; `es_actual` identifica la versión abierta y `activo` es falso cuando la operación es DELETE.</w:t>
      </w:r>
    </w:p>
    <w:p>
      <w:pPr>
        <w:pStyle w:val="Heading1"/>
      </w:pPr>
      <w:r>
        <w:t>5. 1.4 Diseño dimensional y Gold</w:t>
      </w:r>
    </w:p>
    <w:p>
      <w:pPr>
        <w:pStyle w:val="Heading2"/>
      </w:pPr>
      <w:r>
        <w:t>5.1 Grano</w:t>
      </w:r>
    </w:p>
    <w:p>
      <w:r>
        <w:t>FactAbordaje: una fila representa un abordaje/validación exitosa de Transmetro, Transurbano o Aerómetro para un usuario, punto y momento. FactViajeMetroRiel: una fila representa un viaje completo de MetroRiel desde una estación de origen hasta una estación de destino.</w:t>
      </w:r>
    </w:p>
    <w:p>
      <w:r>
        <w:t>Se usan dos hechos porque MetroRiel contiene origen y destino en una sola fila, mientras los otros sistemas entregan eventos de abordaje. Forzar un único grano descartaría información o exigiría inferencias no presentes en los datos.</w:t>
      </w:r>
    </w:p>
    <w:p>
      <w:pPr>
        <w:pStyle w:val="Heading2"/>
      </w:pPr>
      <w:r>
        <w:t>5.2 Matriz del bus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</w:tcPr>
          <w:p>
            <w:r>
              <w:t>Proceso/Hecho</w:t>
            </w:r>
          </w:p>
        </w:tc>
        <w:tc>
          <w:tcPr>
            <w:tcW w:type="dxa" w:w="1260"/>
            <w:shd w:fill="D9EAF7"/>
          </w:tcPr>
          <w:p>
            <w:r>
              <w:t>DimUsuario</w:t>
            </w:r>
          </w:p>
        </w:tc>
        <w:tc>
          <w:tcPr>
            <w:tcW w:type="dxa" w:w="1260"/>
            <w:shd w:fill="D9EAF7"/>
          </w:tcPr>
          <w:p>
            <w:r>
              <w:t>DimTiempo</w:t>
            </w:r>
          </w:p>
        </w:tc>
        <w:tc>
          <w:tcPr>
            <w:tcW w:type="dxa" w:w="1260"/>
            <w:shd w:fill="D9EAF7"/>
          </w:tcPr>
          <w:p>
            <w:r>
              <w:t>DimZona</w:t>
            </w:r>
          </w:p>
        </w:tc>
        <w:tc>
          <w:tcPr>
            <w:tcW w:type="dxa" w:w="1260"/>
            <w:shd w:fill="D9EAF7"/>
          </w:tcPr>
          <w:p>
            <w:r>
              <w:t>DimModo</w:t>
            </w:r>
          </w:p>
        </w:tc>
        <w:tc>
          <w:tcPr>
            <w:tcW w:type="dxa" w:w="1260"/>
            <w:shd w:fill="D9EAF7"/>
          </w:tcPr>
          <w:p>
            <w:r>
              <w:t>DimEstacionParada</w:t>
            </w:r>
          </w:p>
        </w:tc>
        <w:tc>
          <w:tcPr>
            <w:tcW w:type="dxa" w:w="1260"/>
            <w:shd w:fill="D9EAF7"/>
          </w:tcPr>
          <w:p>
            <w:r>
              <w:t>DimRuta</w:t>
            </w:r>
          </w:p>
        </w:tc>
        <w:tc>
          <w:tcPr>
            <w:tcW w:type="dxa" w:w="1260"/>
            <w:shd w:fill="D9EAF7"/>
          </w:tcPr>
          <w:p>
            <w:r>
              <w:t>Grano</w:t>
            </w:r>
          </w:p>
        </w:tc>
      </w:tr>
      <w:tr>
        <w:tc>
          <w:tcPr>
            <w:tcW w:type="dxa" w:w="1260"/>
          </w:tcPr>
          <w:p>
            <w:r>
              <w:t>FactAbordaje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Un abordaje/validación exitosa de TM, TU o Aerómetro</w:t>
            </w:r>
          </w:p>
        </w:tc>
      </w:tr>
      <w:tr>
        <w:tc>
          <w:tcPr>
            <w:tcW w:type="dxa" w:w="1260"/>
          </w:tcPr>
          <w:p>
            <w:r>
              <w:t>FactViajeMetroRiel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>
              <w:t>X</w:t>
            </w:r>
          </w:p>
        </w:tc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Un viaje completo de MetroRiel con origen y destino</w:t>
            </w:r>
          </w:p>
        </w:tc>
      </w:tr>
    </w:tbl>
    <w:p>
      <w:pPr>
        <w:pStyle w:val="Heading2"/>
      </w:pPr>
      <w:r>
        <w:t>5.3 Medidas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Medida</w:t>
            </w:r>
          </w:p>
        </w:tc>
        <w:tc>
          <w:tcPr>
            <w:tcW w:type="dxa" w:w="3360"/>
            <w:shd w:fill="D9EAF7"/>
          </w:tcPr>
          <w:p>
            <w:r>
              <w:t>Clasificación</w:t>
            </w:r>
          </w:p>
        </w:tc>
        <w:tc>
          <w:tcPr>
            <w:tcW w:type="dxa" w:w="3360"/>
            <w:shd w:fill="D9EAF7"/>
          </w:tcPr>
          <w:p>
            <w:r>
              <w:t>Motivo</w:t>
            </w:r>
          </w:p>
        </w:tc>
      </w:tr>
      <w:tr>
        <w:tc>
          <w:tcPr>
            <w:tcW w:type="dxa" w:w="3360"/>
          </w:tcPr>
          <w:p>
            <w:r>
              <w:t>conteo_abordaje</w:t>
            </w:r>
          </w:p>
        </w:tc>
        <w:tc>
          <w:tcPr>
            <w:tcW w:type="dxa" w:w="3360"/>
          </w:tcPr>
          <w:p>
            <w:r>
              <w:t>Aditiva</w:t>
            </w:r>
          </w:p>
        </w:tc>
        <w:tc>
          <w:tcPr>
            <w:tcW w:type="dxa" w:w="3360"/>
          </w:tcPr>
          <w:p>
            <w:r>
              <w:t>Se puede sumar entre todas las dimensiones.</w:t>
            </w:r>
          </w:p>
        </w:tc>
      </w:tr>
      <w:tr>
        <w:tc>
          <w:tcPr>
            <w:tcW w:type="dxa" w:w="3360"/>
          </w:tcPr>
          <w:p>
            <w:r>
              <w:t>conteo_viaje</w:t>
            </w:r>
          </w:p>
        </w:tc>
        <w:tc>
          <w:tcPr>
            <w:tcW w:type="dxa" w:w="3360"/>
          </w:tcPr>
          <w:p>
            <w:r>
              <w:t>Aditiva</w:t>
            </w:r>
          </w:p>
        </w:tc>
        <w:tc>
          <w:tcPr>
            <w:tcW w:type="dxa" w:w="3360"/>
          </w:tcPr>
          <w:p>
            <w:r>
              <w:t>Se puede sumar entre todas las dimensiones.</w:t>
            </w:r>
          </w:p>
        </w:tc>
      </w:tr>
      <w:tr>
        <w:tc>
          <w:tcPr>
            <w:tcW w:type="dxa" w:w="3360"/>
          </w:tcPr>
          <w:p>
            <w:r>
              <w:t>monto_q</w:t>
            </w:r>
          </w:p>
        </w:tc>
        <w:tc>
          <w:tcPr>
            <w:tcW w:type="dxa" w:w="3360"/>
          </w:tcPr>
          <w:p>
            <w:r>
              <w:t>Aditiva</w:t>
            </w:r>
          </w:p>
        </w:tc>
        <w:tc>
          <w:tcPr>
            <w:tcW w:type="dxa" w:w="3360"/>
          </w:tcPr>
          <w:p>
            <w:r>
              <w:t>Suma de cobros por eventos/viajes.</w:t>
            </w:r>
          </w:p>
        </w:tc>
      </w:tr>
      <w:tr>
        <w:tc>
          <w:tcPr>
            <w:tcW w:type="dxa" w:w="3360"/>
          </w:tcPr>
          <w:p>
            <w:r>
              <w:t>usuarios_distintos</w:t>
            </w:r>
          </w:p>
        </w:tc>
        <w:tc>
          <w:tcPr>
            <w:tcW w:type="dxa" w:w="3360"/>
          </w:tcPr>
          <w:p>
            <w:r>
              <w:t>No aditiva</w:t>
            </w:r>
          </w:p>
        </w:tc>
        <w:tc>
          <w:tcPr>
            <w:tcW w:type="dxa" w:w="3360"/>
          </w:tcPr>
          <w:p>
            <w:r>
              <w:t>COUNT DISTINCT no puede sumarse entre particiones.</w:t>
            </w:r>
          </w:p>
        </w:tc>
      </w:tr>
      <w:tr>
        <w:tc>
          <w:tcPr>
            <w:tcW w:type="dxa" w:w="3360"/>
          </w:tcPr>
          <w:p>
            <w:r>
              <w:t>tarifa_promedio</w:t>
            </w:r>
          </w:p>
        </w:tc>
        <w:tc>
          <w:tcPr>
            <w:tcW w:type="dxa" w:w="3360"/>
          </w:tcPr>
          <w:p>
            <w:r>
              <w:t>No aditiva</w:t>
            </w:r>
          </w:p>
        </w:tc>
        <w:tc>
          <w:tcPr>
            <w:tcW w:type="dxa" w:w="3360"/>
          </w:tcPr>
          <w:p>
            <w:r>
              <w:t>Promedios no se suman directamente.</w:t>
            </w:r>
          </w:p>
        </w:tc>
      </w:tr>
      <w:tr>
        <w:tc>
          <w:tcPr>
            <w:tcW w:type="dxa" w:w="3360"/>
          </w:tcPr>
          <w:p>
            <w:r>
              <w:t>Saldo/snapshot</w:t>
            </w:r>
          </w:p>
        </w:tc>
        <w:tc>
          <w:tcPr>
            <w:tcW w:type="dxa" w:w="3360"/>
          </w:tcPr>
          <w:p>
            <w:r>
              <w:t>Semi-aditiva — no implementada</w:t>
            </w:r>
          </w:p>
        </w:tc>
        <w:tc>
          <w:tcPr>
            <w:tcW w:type="dxa" w:w="3360"/>
          </w:tcPr>
          <w:p>
            <w:r>
              <w:t>Los archivos entregados no contienen una medida de saldo o snapshot; no se inventa una.</w:t>
            </w:r>
          </w:p>
        </w:tc>
      </w:tr>
    </w:tbl>
    <w:p>
      <w:r>
        <w:t>El DDL está incluido en `sql/ddl_gold.sql`. El diagrama ER está en `docs/modelo_dimensional.mmd` y la arquitectura en `docs/arquitectura.mmd`.</w:t>
      </w:r>
    </w:p>
    <w:p>
      <w:pPr>
        <w:pStyle w:val="Heading1"/>
      </w:pPr>
      <w:r>
        <w:t>6. 1.5 Orquestación e idempotencia</w:t>
      </w:r>
    </w:p>
    <w:p>
      <w:r>
        <w:t>Prefect ejecuta inspección, Bronze, dbt run, dbt test y validación de conteos. Los modelos dbt son reconstrucciones determinísticas y las claves de hechos son únicas; Bronze registra hashes para impedir duplicar el mismo archivo. El script `06_prueba_idempotencia.py` ejecuta dbt dos veces y exige igualdad exacta de conteos.</w:t>
      </w:r>
    </w:p>
    <w:p>
      <w:r>
        <w:t>La evidencia visual de ambas corridas debe tomarse en el equipo donde se ejecute el proyecto, ya que la defensa exige demostrar el comportamiento del flujo.</w:t>
      </w:r>
    </w:p>
    <w:p>
      <w:pPr>
        <w:pStyle w:val="Heading1"/>
      </w:pPr>
      <w:r>
        <w:t>7.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Pieza</w:t>
            </w:r>
          </w:p>
        </w:tc>
        <w:tc>
          <w:tcPr>
            <w:tcW w:type="dxa" w:w="5040"/>
            <w:shd w:fill="D9EAF7"/>
          </w:tcPr>
          <w:p>
            <w:r>
              <w:t>Elección</w:t>
            </w:r>
          </w:p>
        </w:tc>
      </w:tr>
      <w:tr>
        <w:tc>
          <w:tcPr>
            <w:tcW w:type="dxa" w:w="5040"/>
          </w:tcPr>
          <w:p>
            <w:r>
              <w:t>Streaming</w:t>
            </w:r>
          </w:p>
        </w:tc>
        <w:tc>
          <w:tcPr>
            <w:tcW w:type="dxa" w:w="5040"/>
          </w:tcPr>
          <w:p>
            <w:r>
              <w:t>Kafka en Docker</w:t>
            </w:r>
          </w:p>
        </w:tc>
      </w:tr>
      <w:tr>
        <w:tc>
          <w:tcPr>
            <w:tcW w:type="dxa" w:w="5040"/>
          </w:tcPr>
          <w:p>
            <w:r>
              <w:t>Lake/Bronze</w:t>
            </w:r>
          </w:p>
        </w:tc>
        <w:tc>
          <w:tcPr>
            <w:tcW w:type="dxa" w:w="5040"/>
          </w:tcPr>
          <w:p>
            <w:r>
              <w:t>Carpetas locales + manifiesto/hash</w:t>
            </w:r>
          </w:p>
        </w:tc>
      </w:tr>
      <w:tr>
        <w:tc>
          <w:tcPr>
            <w:tcW w:type="dxa" w:w="5040"/>
          </w:tcPr>
          <w:p>
            <w:r>
              <w:t>Staging/Warehouse</w:t>
            </w:r>
          </w:p>
        </w:tc>
        <w:tc>
          <w:tcPr>
            <w:tcW w:type="dxa" w:w="5040"/>
          </w:tcPr>
          <w:p>
            <w:r>
              <w:t>DuckDB</w:t>
            </w:r>
          </w:p>
        </w:tc>
      </w:tr>
      <w:tr>
        <w:tc>
          <w:tcPr>
            <w:tcW w:type="dxa" w:w="5040"/>
          </w:tcPr>
          <w:p>
            <w:r>
              <w:t>Transformación</w:t>
            </w:r>
          </w:p>
        </w:tc>
        <w:tc>
          <w:tcPr>
            <w:tcW w:type="dxa" w:w="5040"/>
          </w:tcPr>
          <w:p>
            <w:r>
              <w:t>dbt-duckdb</w:t>
            </w:r>
          </w:p>
        </w:tc>
      </w:tr>
      <w:tr>
        <w:tc>
          <w:tcPr>
            <w:tcW w:type="dxa" w:w="5040"/>
          </w:tcPr>
          <w:p>
            <w:r>
              <w:t>CDC</w:t>
            </w:r>
          </w:p>
        </w:tc>
        <w:tc>
          <w:tcPr>
            <w:tcW w:type="dxa" w:w="5040"/>
          </w:tcPr>
          <w:p>
            <w:r>
              <w:t>Archivo de log procesado en dbt</w:t>
            </w:r>
          </w:p>
        </w:tc>
      </w:tr>
      <w:tr>
        <w:tc>
          <w:tcPr>
            <w:tcW w:type="dxa" w:w="5040"/>
          </w:tcPr>
          <w:p>
            <w:r>
              <w:t>Orquestación</w:t>
            </w:r>
          </w:p>
        </w:tc>
        <w:tc>
          <w:tcPr>
            <w:tcW w:type="dxa" w:w="5040"/>
          </w:tcPr>
          <w:p>
            <w:r>
              <w:t>Prefect</w:t>
            </w:r>
          </w:p>
        </w:tc>
      </w:tr>
    </w:tbl>
    <w:p>
      <w:pPr>
        <w:pStyle w:val="Heading1"/>
      </w:pPr>
      <w:r>
        <w:t>8. Seguridad y reproducibilidad</w:t>
      </w:r>
    </w:p>
    <w:p>
      <w:r>
        <w:t>Las credenciales y la sal de seudonimización se manejan con variables de entorno y `.env` local. `.gitignore` evita versionar datos crudos, bases locales y secretos. Gold no contiene las llaves originales de usuario; usa `usuario_pseudo`. El repositorio debe mantener commits incrementales y un README reproducible.</w:t>
      </w:r>
    </w:p>
    <w:p>
      <w:pPr>
        <w:pStyle w:val="Heading1"/>
      </w:pPr>
      <w:r>
        <w:t>9. Archivos entregables incluidos</w:t>
      </w:r>
    </w:p>
    <w:p>
      <w:pPr>
        <w:pStyle w:val="ListBullet"/>
      </w:pPr>
      <w:r>
        <w:t>Scripts de ingesta Batch, Kafka y Bronze.</w:t>
      </w:r>
    </w:p>
    <w:p>
      <w:pPr>
        <w:pStyle w:val="ListBullet"/>
      </w:pPr>
      <w:r>
        <w:t>Proyecto dbt completo con Staging, Silver, cuarentena, SCD2 y Gold.</w:t>
      </w:r>
    </w:p>
    <w:p>
      <w:pPr>
        <w:pStyle w:val="ListBullet"/>
      </w:pPr>
      <w:r>
        <w:t>Matriz del bus.</w:t>
      </w:r>
    </w:p>
    <w:p>
      <w:pPr>
        <w:pStyle w:val="ListBullet"/>
      </w:pPr>
      <w:r>
        <w:t>DDL de Gold.</w:t>
      </w:r>
    </w:p>
    <w:p>
      <w:pPr>
        <w:pStyle w:val="ListBullet"/>
      </w:pPr>
      <w:r>
        <w:t>Diagramas en Mermaid.</w:t>
      </w:r>
    </w:p>
    <w:p>
      <w:pPr>
        <w:pStyle w:val="ListBullet"/>
      </w:pPr>
      <w:r>
        <w:t>Resultados medidos de volumen, calidad, CDC y usuarios únicos.</w:t>
      </w:r>
    </w:p>
    <w:p>
      <w:pPr>
        <w:pStyle w:val="ListBullet"/>
      </w:pPr>
      <w:r>
        <w:t>Orquestación Prefect.</w:t>
      </w:r>
    </w:p>
    <w:p>
      <w:pPr>
        <w:pStyle w:val="ListBullet"/>
      </w:pPr>
      <w:r>
        <w:t>Prueba automatizada de idempotencia.</w:t>
      </w:r>
    </w:p>
    <w:p>
      <w:pPr>
        <w:pStyle w:val="ListBullet"/>
      </w:pPr>
      <w:r>
        <w:t>Guía separada con únicamente las acciones manuales del estudiante.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