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F9EFB" w14:textId="77777777" w:rsidR="00421D5A" w:rsidRPr="00421D5A" w:rsidRDefault="00421D5A" w:rsidP="00421D5A">
      <w:pPr>
        <w:spacing w:after="161" w:line="240" w:lineRule="auto"/>
        <w:outlineLvl w:val="1"/>
        <w:rPr>
          <w:rFonts w:ascii="OpenSans" w:eastAsia="Times New Roman" w:hAnsi="OpenSans" w:cs="Times New Roman"/>
          <w:b/>
          <w:bCs/>
          <w:kern w:val="36"/>
          <w:sz w:val="30"/>
          <w:szCs w:val="30"/>
          <w:lang w:eastAsia="pt-BR"/>
        </w:rPr>
      </w:pPr>
      <w:r w:rsidRPr="00421D5A">
        <w:rPr>
          <w:rFonts w:ascii="OpenSans" w:eastAsia="Times New Roman" w:hAnsi="OpenSans" w:cs="Times New Roman"/>
          <w:b/>
          <w:bCs/>
          <w:kern w:val="36"/>
          <w:sz w:val="30"/>
          <w:szCs w:val="30"/>
          <w:lang w:eastAsia="pt-BR"/>
        </w:rPr>
        <w:t>IBGE: abandono escolar no Brasil é 3 vezes maior que na Europa</w:t>
      </w:r>
    </w:p>
    <w:p w14:paraId="3502E69D" w14:textId="77777777" w:rsidR="00421D5A" w:rsidRPr="00421D5A" w:rsidRDefault="00421D5A" w:rsidP="00421D5A">
      <w:pPr>
        <w:spacing w:after="0" w:line="240" w:lineRule="auto"/>
        <w:textAlignment w:val="center"/>
        <w:rPr>
          <w:rFonts w:ascii="OpenSans" w:eastAsia="Times New Roman" w:hAnsi="OpenSans" w:cs="Times New Roman"/>
          <w:sz w:val="15"/>
          <w:szCs w:val="15"/>
          <w:lang w:eastAsia="pt-BR"/>
        </w:rPr>
      </w:pPr>
      <w:r w:rsidRPr="00421D5A">
        <w:rPr>
          <w:rFonts w:ascii="OpenSans" w:eastAsia="Times New Roman" w:hAnsi="OpenSans" w:cs="Times New Roman"/>
          <w:caps/>
          <w:color w:val="191917"/>
          <w:sz w:val="15"/>
          <w:szCs w:val="15"/>
          <w:lang w:eastAsia="pt-BR"/>
        </w:rPr>
        <w:t>28 nov</w:t>
      </w:r>
      <w:r w:rsidRPr="00421D5A">
        <w:rPr>
          <w:rFonts w:ascii="OpenSans" w:eastAsia="Times New Roman" w:hAnsi="OpenSans" w:cs="Times New Roman"/>
          <w:color w:val="65655D"/>
          <w:sz w:val="15"/>
          <w:szCs w:val="15"/>
          <w:lang w:eastAsia="pt-BR"/>
        </w:rPr>
        <w:t xml:space="preserve"> 2012</w:t>
      </w:r>
      <w:r w:rsidRPr="00421D5A">
        <w:rPr>
          <w:rFonts w:ascii="OpenSans" w:eastAsia="Times New Roman" w:hAnsi="OpenSans" w:cs="Times New Roman"/>
          <w:sz w:val="15"/>
          <w:szCs w:val="15"/>
          <w:lang w:eastAsia="pt-BR"/>
        </w:rPr>
        <w:t xml:space="preserve"> </w:t>
      </w:r>
    </w:p>
    <w:p w14:paraId="4B55F04C" w14:textId="77777777" w:rsidR="00421D5A" w:rsidRPr="00421D5A" w:rsidRDefault="00421D5A" w:rsidP="00421D5A">
      <w:pPr>
        <w:spacing w:after="0" w:line="240" w:lineRule="auto"/>
        <w:textAlignment w:val="center"/>
        <w:rPr>
          <w:rFonts w:ascii="OpenSans" w:eastAsia="Times New Roman" w:hAnsi="OpenSans" w:cs="Times New Roman"/>
          <w:sz w:val="15"/>
          <w:szCs w:val="15"/>
          <w:lang w:eastAsia="pt-BR"/>
        </w:rPr>
      </w:pPr>
      <w:r w:rsidRPr="00421D5A">
        <w:rPr>
          <w:rFonts w:ascii="OpenSans" w:eastAsia="Times New Roman" w:hAnsi="OpenSans" w:cs="Times New Roman"/>
          <w:color w:val="65655D"/>
          <w:sz w:val="15"/>
          <w:szCs w:val="15"/>
          <w:lang w:eastAsia="pt-BR"/>
        </w:rPr>
        <w:t>10h01</w:t>
      </w:r>
      <w:r w:rsidRPr="00421D5A">
        <w:rPr>
          <w:rFonts w:ascii="OpenSans" w:eastAsia="Times New Roman" w:hAnsi="OpenSans" w:cs="Times New Roman"/>
          <w:sz w:val="15"/>
          <w:szCs w:val="15"/>
          <w:lang w:eastAsia="pt-BR"/>
        </w:rPr>
        <w:t xml:space="preserve"> </w:t>
      </w:r>
    </w:p>
    <w:p w14:paraId="3AF07697" w14:textId="77777777" w:rsidR="00421D5A" w:rsidRPr="00421D5A" w:rsidRDefault="00421D5A" w:rsidP="00421D5A">
      <w:pPr>
        <w:numPr>
          <w:ilvl w:val="0"/>
          <w:numId w:val="1"/>
        </w:numPr>
        <w:spacing w:after="0" w:line="240" w:lineRule="auto"/>
        <w:ind w:left="0"/>
        <w:textAlignment w:val="center"/>
        <w:rPr>
          <w:rFonts w:ascii="OpenSans" w:eastAsia="Times New Roman" w:hAnsi="OpenSans" w:cs="Times New Roman"/>
          <w:sz w:val="15"/>
          <w:szCs w:val="15"/>
          <w:lang w:eastAsia="pt-BR"/>
        </w:rPr>
      </w:pPr>
    </w:p>
    <w:p w14:paraId="360256AC" w14:textId="77777777" w:rsidR="00421D5A" w:rsidRPr="00421D5A" w:rsidRDefault="00421D5A" w:rsidP="00421D5A">
      <w:pPr>
        <w:numPr>
          <w:ilvl w:val="0"/>
          <w:numId w:val="1"/>
        </w:numPr>
        <w:spacing w:after="0" w:line="240" w:lineRule="auto"/>
        <w:ind w:left="0"/>
        <w:textAlignment w:val="center"/>
        <w:rPr>
          <w:rFonts w:ascii="OpenSans" w:eastAsia="Times New Roman" w:hAnsi="OpenSans" w:cs="Times New Roman"/>
          <w:sz w:val="15"/>
          <w:szCs w:val="15"/>
          <w:lang w:eastAsia="pt-BR"/>
        </w:rPr>
      </w:pPr>
    </w:p>
    <w:p w14:paraId="12C3D9D5" w14:textId="77777777" w:rsidR="00421D5A" w:rsidRPr="00421D5A" w:rsidRDefault="00421D5A" w:rsidP="00421D5A">
      <w:pPr>
        <w:numPr>
          <w:ilvl w:val="0"/>
          <w:numId w:val="1"/>
        </w:numPr>
        <w:spacing w:after="0" w:line="240" w:lineRule="auto"/>
        <w:ind w:left="0"/>
        <w:textAlignment w:val="center"/>
        <w:rPr>
          <w:rFonts w:ascii="OpenSans" w:eastAsia="Times New Roman" w:hAnsi="OpenSans" w:cs="Times New Roman"/>
          <w:sz w:val="15"/>
          <w:szCs w:val="15"/>
          <w:lang w:eastAsia="pt-BR"/>
        </w:rPr>
      </w:pPr>
    </w:p>
    <w:p w14:paraId="7E886F95" w14:textId="77777777" w:rsidR="00421D5A" w:rsidRPr="00421D5A" w:rsidRDefault="00421D5A" w:rsidP="00421D5A">
      <w:pPr>
        <w:numPr>
          <w:ilvl w:val="0"/>
          <w:numId w:val="1"/>
        </w:numPr>
        <w:spacing w:after="0" w:line="240" w:lineRule="auto"/>
        <w:ind w:left="0"/>
        <w:textAlignment w:val="center"/>
        <w:rPr>
          <w:rFonts w:ascii="OpenSans" w:eastAsia="Times New Roman" w:hAnsi="OpenSans" w:cs="Times New Roman"/>
          <w:sz w:val="15"/>
          <w:szCs w:val="15"/>
          <w:lang w:eastAsia="pt-BR"/>
        </w:rPr>
      </w:pPr>
    </w:p>
    <w:p w14:paraId="532D919A" w14:textId="77777777" w:rsidR="00421D5A" w:rsidRPr="00421D5A" w:rsidRDefault="00421D5A" w:rsidP="00421D5A">
      <w:pPr>
        <w:numPr>
          <w:ilvl w:val="0"/>
          <w:numId w:val="1"/>
        </w:numPr>
        <w:spacing w:after="0" w:line="0" w:lineRule="auto"/>
        <w:ind w:left="0"/>
        <w:textAlignment w:val="center"/>
        <w:rPr>
          <w:rFonts w:ascii="OpenSans" w:eastAsia="Times New Roman" w:hAnsi="OpenSans" w:cs="Times New Roman"/>
          <w:sz w:val="15"/>
          <w:szCs w:val="15"/>
          <w:lang w:eastAsia="pt-BR"/>
        </w:rPr>
      </w:pPr>
      <w:r w:rsidRPr="00421D5A">
        <w:rPr>
          <w:rFonts w:ascii="OpenSans" w:eastAsia="Times New Roman" w:hAnsi="OpenSans" w:cs="Times New Roman"/>
          <w:noProof/>
          <w:sz w:val="15"/>
          <w:szCs w:val="15"/>
          <w:lang w:eastAsia="pt-BR"/>
        </w:rPr>
        <w:drawing>
          <wp:inline distT="0" distB="0" distL="0" distR="0" wp14:anchorId="4D479D7F" wp14:editId="4F71DE63">
            <wp:extent cx="19050" cy="352425"/>
            <wp:effectExtent l="0" t="0" r="0" b="9525"/>
            <wp:docPr id="2" name="Imagem 2" descr="sepa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para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79F22" w14:textId="77777777" w:rsidR="00421D5A" w:rsidRPr="00421D5A" w:rsidRDefault="00421D5A" w:rsidP="00421D5A">
      <w:pPr>
        <w:numPr>
          <w:ilvl w:val="0"/>
          <w:numId w:val="1"/>
        </w:numPr>
        <w:spacing w:after="0" w:line="240" w:lineRule="auto"/>
        <w:ind w:left="0"/>
        <w:textAlignment w:val="center"/>
        <w:rPr>
          <w:rFonts w:ascii="OpenSans" w:eastAsia="Times New Roman" w:hAnsi="OpenSans" w:cs="Times New Roman"/>
          <w:sz w:val="15"/>
          <w:szCs w:val="15"/>
          <w:lang w:eastAsia="pt-BR"/>
        </w:rPr>
      </w:pPr>
      <w:hyperlink r:id="rId6" w:anchor="disqus_thread" w:history="1">
        <w:r w:rsidRPr="00421D5A">
          <w:rPr>
            <w:rFonts w:ascii="OpenSans" w:eastAsia="Times New Roman" w:hAnsi="OpenSans" w:cs="Times New Roman"/>
            <w:color w:val="191917"/>
            <w:sz w:val="15"/>
            <w:szCs w:val="15"/>
            <w:u w:val="single"/>
            <w:lang w:eastAsia="pt-BR"/>
          </w:rPr>
          <w:t> </w:t>
        </w:r>
      </w:hyperlink>
    </w:p>
    <w:p w14:paraId="6EE09B30" w14:textId="77777777" w:rsidR="00421D5A" w:rsidRPr="00421D5A" w:rsidRDefault="00421D5A" w:rsidP="00421D5A">
      <w:pPr>
        <w:numPr>
          <w:ilvl w:val="0"/>
          <w:numId w:val="1"/>
        </w:numPr>
        <w:spacing w:after="0" w:line="240" w:lineRule="auto"/>
        <w:ind w:left="0"/>
        <w:textAlignment w:val="center"/>
        <w:rPr>
          <w:rFonts w:ascii="OpenSans" w:eastAsia="Times New Roman" w:hAnsi="OpenSans" w:cs="Times New Roman"/>
          <w:b/>
          <w:bCs/>
          <w:caps/>
          <w:color w:val="2388DD"/>
          <w:sz w:val="17"/>
          <w:szCs w:val="17"/>
          <w:lang w:eastAsia="pt-BR"/>
        </w:rPr>
      </w:pPr>
      <w:r w:rsidRPr="00421D5A">
        <w:rPr>
          <w:rFonts w:ascii="OpenSans" w:eastAsia="Times New Roman" w:hAnsi="OpenSans" w:cs="Times New Roman"/>
          <w:b/>
          <w:bCs/>
          <w:caps/>
          <w:color w:val="2388DD"/>
          <w:sz w:val="17"/>
          <w:szCs w:val="17"/>
          <w:lang w:eastAsia="pt-BR"/>
        </w:rPr>
        <w:t>comentários</w:t>
      </w:r>
    </w:p>
    <w:p w14:paraId="39AE7759" w14:textId="77777777" w:rsidR="00421D5A" w:rsidRPr="00421D5A" w:rsidRDefault="00421D5A" w:rsidP="00421D5A">
      <w:pPr>
        <w:spacing w:before="100" w:beforeAutospacing="1" w:after="100" w:afterAutospacing="1" w:line="240" w:lineRule="auto"/>
        <w:rPr>
          <w:rFonts w:ascii="OpenSans" w:eastAsia="Times New Roman" w:hAnsi="OpenSans" w:cs="Times New Roman"/>
          <w:color w:val="33332F"/>
          <w:sz w:val="15"/>
          <w:szCs w:val="15"/>
          <w:lang w:eastAsia="pt-BR"/>
        </w:rPr>
      </w:pPr>
      <w:r w:rsidRPr="00421D5A">
        <w:rPr>
          <w:rFonts w:ascii="OpenSans" w:eastAsia="Times New Roman" w:hAnsi="OpenSans" w:cs="Times New Roman"/>
          <w:color w:val="33332F"/>
          <w:sz w:val="15"/>
          <w:szCs w:val="15"/>
          <w:lang w:eastAsia="pt-BR"/>
        </w:rPr>
        <w:t xml:space="preserve">Dados do Instituto Brasileiro de Geografia e Estatística (IBGE) divulgados nesta quarta-feira colocam a taxa de abandono escolar como um dos principais fatores para o fraco desempenho do Brasil em indicadores educacionais quando comparado a outras nações. </w:t>
      </w:r>
    </w:p>
    <w:p w14:paraId="7525755C" w14:textId="77777777" w:rsidR="00421D5A" w:rsidRPr="00421D5A" w:rsidRDefault="00421D5A" w:rsidP="00421D5A">
      <w:pPr>
        <w:spacing w:before="100" w:beforeAutospacing="1" w:after="100" w:afterAutospacing="1" w:line="240" w:lineRule="auto"/>
        <w:rPr>
          <w:rFonts w:ascii="OpenSans" w:eastAsia="Times New Roman" w:hAnsi="OpenSans" w:cs="Times New Roman"/>
          <w:color w:val="33332F"/>
          <w:sz w:val="15"/>
          <w:szCs w:val="15"/>
          <w:lang w:eastAsia="pt-BR"/>
        </w:rPr>
      </w:pPr>
      <w:r w:rsidRPr="00421D5A">
        <w:rPr>
          <w:rFonts w:ascii="OpenSans" w:eastAsia="Times New Roman" w:hAnsi="OpenSans" w:cs="Times New Roman"/>
          <w:color w:val="33332F"/>
          <w:sz w:val="15"/>
          <w:szCs w:val="15"/>
          <w:lang w:eastAsia="pt-BR"/>
        </w:rPr>
        <w:t xml:space="preserve">De acordo com o IBGE, apesar de o País ter registrado uma queda de 11,5% na taxa de abandono do ensino de 2001 para 2011 entre jovens com 18 e 24 anos, essa média ainda é três vezes maior do que o percentual verificado em 29 países europeus. </w:t>
      </w:r>
    </w:p>
    <w:p w14:paraId="39143712" w14:textId="77777777" w:rsidR="00421D5A" w:rsidRPr="00421D5A" w:rsidRDefault="00421D5A" w:rsidP="00421D5A">
      <w:pPr>
        <w:spacing w:before="100" w:beforeAutospacing="1" w:after="100" w:afterAutospacing="1" w:line="240" w:lineRule="auto"/>
        <w:rPr>
          <w:rFonts w:ascii="OpenSans" w:eastAsia="Times New Roman" w:hAnsi="OpenSans" w:cs="Times New Roman"/>
          <w:color w:val="33332F"/>
          <w:sz w:val="15"/>
          <w:szCs w:val="15"/>
          <w:lang w:eastAsia="pt-BR"/>
        </w:rPr>
      </w:pPr>
      <w:r w:rsidRPr="00421D5A">
        <w:rPr>
          <w:rFonts w:ascii="OpenSans" w:eastAsia="Times New Roman" w:hAnsi="OpenSans" w:cs="Times New Roman"/>
          <w:color w:val="33332F"/>
          <w:sz w:val="15"/>
          <w:szCs w:val="15"/>
          <w:lang w:eastAsia="pt-BR"/>
        </w:rPr>
        <w:t xml:space="preserve">O IBGE, que analisou dados da Pesquisa Nacional por Amostra de Domicílios (Pnad), mostrou que o percentual de jovens que não haviam completado o ensino médio e que não estavam estudando passou de 43,8% em 2001 para 32,2% em 2011. Em países como Suíça, Polônia, Áustria, Irlanda, Dinamarca e Bélgica, a taxa de abandono dos estudos é de menos de 10%. Itália, França e Alemanha tem percentuais inferiores a 15%. </w:t>
      </w:r>
    </w:p>
    <w:p w14:paraId="57916FB3" w14:textId="77777777" w:rsidR="00421D5A" w:rsidRPr="00421D5A" w:rsidRDefault="00421D5A" w:rsidP="00421D5A">
      <w:pPr>
        <w:spacing w:before="100" w:beforeAutospacing="1" w:after="100" w:afterAutospacing="1" w:line="240" w:lineRule="auto"/>
        <w:rPr>
          <w:rFonts w:ascii="OpenSans" w:eastAsia="Times New Roman" w:hAnsi="OpenSans" w:cs="Times New Roman"/>
          <w:color w:val="33332F"/>
          <w:sz w:val="15"/>
          <w:szCs w:val="15"/>
          <w:lang w:eastAsia="pt-BR"/>
        </w:rPr>
      </w:pPr>
      <w:r w:rsidRPr="00421D5A">
        <w:rPr>
          <w:rFonts w:ascii="OpenSans" w:eastAsia="Times New Roman" w:hAnsi="OpenSans" w:cs="Times New Roman"/>
          <w:color w:val="33332F"/>
          <w:sz w:val="15"/>
          <w:szCs w:val="15"/>
          <w:lang w:eastAsia="pt-BR"/>
        </w:rPr>
        <w:t xml:space="preserve">Ainda de acordo com o IBGE, em 2011 o abandono escolar atingia mais da metade dos jovens de 18 e 24 anos pertencentes à fatia mais pobre da população, enquanto no quinto mais rico essa proporção era de apenas 9,6%. </w:t>
      </w:r>
    </w:p>
    <w:p w14:paraId="01770EC8" w14:textId="77777777" w:rsidR="00421D5A" w:rsidRPr="00421D5A" w:rsidRDefault="00421D5A" w:rsidP="00421D5A">
      <w:pPr>
        <w:spacing w:before="100" w:beforeAutospacing="1" w:after="100" w:afterAutospacing="1" w:line="240" w:lineRule="auto"/>
        <w:rPr>
          <w:rFonts w:ascii="OpenSans" w:eastAsia="Times New Roman" w:hAnsi="OpenSans" w:cs="Times New Roman"/>
          <w:color w:val="33332F"/>
          <w:sz w:val="15"/>
          <w:szCs w:val="15"/>
          <w:lang w:eastAsia="pt-BR"/>
        </w:rPr>
      </w:pPr>
      <w:r w:rsidRPr="00421D5A">
        <w:rPr>
          <w:rFonts w:ascii="OpenSans" w:eastAsia="Times New Roman" w:hAnsi="OpenSans" w:cs="Times New Roman"/>
          <w:color w:val="33332F"/>
          <w:sz w:val="15"/>
          <w:szCs w:val="15"/>
          <w:lang w:eastAsia="pt-BR"/>
        </w:rPr>
        <w:t xml:space="preserve">Na análise dos dados, o instituto utilizou um estudo feito em países da Organização para a Cooperação e Desenvolvimento Econômico (OECD), que confirma a maior vulnerabilidade dos jovens que não concluíram o ensino médio em relação ao acesso às oportunidades de qualificação e ao emprego estável. "Eles vivenciam maiores chances de desemprego, também sofrem com empregos instáveis, inseguros e de baixa remuneração", aponta o estudo. </w:t>
      </w:r>
    </w:p>
    <w:p w14:paraId="4F7EBF95" w14:textId="77777777" w:rsidR="00421D5A" w:rsidRPr="00421D5A" w:rsidRDefault="00421D5A" w:rsidP="00421D5A">
      <w:pPr>
        <w:spacing w:before="100" w:beforeAutospacing="1" w:after="100" w:afterAutospacing="1" w:line="240" w:lineRule="auto"/>
        <w:rPr>
          <w:rFonts w:ascii="OpenSans" w:eastAsia="Times New Roman" w:hAnsi="OpenSans" w:cs="Times New Roman"/>
          <w:color w:val="33332F"/>
          <w:sz w:val="15"/>
          <w:szCs w:val="15"/>
          <w:lang w:eastAsia="pt-BR"/>
        </w:rPr>
      </w:pPr>
      <w:r w:rsidRPr="00421D5A">
        <w:rPr>
          <w:rFonts w:ascii="OpenSans" w:eastAsia="Times New Roman" w:hAnsi="OpenSans" w:cs="Times New Roman"/>
          <w:color w:val="33332F"/>
          <w:sz w:val="15"/>
          <w:szCs w:val="15"/>
          <w:lang w:eastAsia="pt-BR"/>
        </w:rPr>
        <w:t xml:space="preserve">"Por isso, os jovens que abandonaram a escola sem completar o ensino médio tornaram-se o problema mais grave a ser enfrentado pela política educacional desses países atualmente", diz o IBGE na análise. </w:t>
      </w:r>
    </w:p>
    <w:p w14:paraId="4C88A86C" w14:textId="77777777" w:rsidR="00421D5A" w:rsidRPr="00421D5A" w:rsidRDefault="00421D5A" w:rsidP="00421D5A">
      <w:pPr>
        <w:spacing w:before="100" w:beforeAutospacing="1" w:after="100" w:afterAutospacing="1" w:line="240" w:lineRule="auto"/>
        <w:rPr>
          <w:rFonts w:ascii="OpenSans" w:eastAsia="Times New Roman" w:hAnsi="OpenSans" w:cs="Times New Roman"/>
          <w:color w:val="33332F"/>
          <w:sz w:val="15"/>
          <w:szCs w:val="15"/>
          <w:lang w:eastAsia="pt-BR"/>
        </w:rPr>
      </w:pPr>
      <w:r w:rsidRPr="00421D5A">
        <w:rPr>
          <w:rFonts w:ascii="OpenSans" w:eastAsia="Times New Roman" w:hAnsi="OpenSans" w:cs="Times New Roman"/>
          <w:noProof/>
          <w:color w:val="33332F"/>
          <w:sz w:val="15"/>
          <w:szCs w:val="15"/>
          <w:lang w:eastAsia="pt-BR"/>
        </w:rPr>
        <w:lastRenderedPageBreak/>
        <w:drawing>
          <wp:inline distT="0" distB="0" distL="0" distR="0" wp14:anchorId="5E6D6038" wp14:editId="25111F89">
            <wp:extent cx="5895975" cy="9086850"/>
            <wp:effectExtent l="0" t="0" r="9525" b="0"/>
            <wp:docPr id="1" name="Imagem 1" descr="População Brasilei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pulação Brasileir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908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20EC0" w14:textId="77777777" w:rsidR="00A224BB" w:rsidRDefault="00421D5A">
      <w:hyperlink r:id="rId8" w:history="1">
        <w:r w:rsidRPr="006011F0">
          <w:rPr>
            <w:rStyle w:val="Hyperlink"/>
          </w:rPr>
          <w:t>http://noticias.terra.com.br/educacao/ibge-abandono-escolar-no-brasil-e-3-vezes-maior-que-na-europa,9608febb0345b310VgnCLD200000bbcceb0aRCRD.html</w:t>
        </w:r>
      </w:hyperlink>
    </w:p>
    <w:p w14:paraId="16ECBB96" w14:textId="77777777" w:rsidR="00421D5A" w:rsidRDefault="00421D5A">
      <w:r>
        <w:t>23/01/2016</w:t>
      </w:r>
    </w:p>
    <w:p w14:paraId="12E5292F" w14:textId="77777777" w:rsidR="00421D5A" w:rsidRDefault="00421D5A">
      <w:r>
        <w:t>Endereço para consultar evasão escolar</w:t>
      </w:r>
    </w:p>
    <w:p w14:paraId="7C69B2AF" w14:textId="77777777" w:rsidR="00421D5A" w:rsidRDefault="00421D5A">
      <w:hyperlink r:id="rId9" w:history="1">
        <w:r w:rsidRPr="006011F0">
          <w:rPr>
            <w:rStyle w:val="Hyperlink"/>
          </w:rPr>
          <w:t>http://www.scielo.br/scielo.php?script=sci_arttext&amp;pid=S0101-32622014000300349&amp;lng=pt&amp;tlng=pt</w:t>
        </w:r>
      </w:hyperlink>
    </w:p>
    <w:p w14:paraId="7DF8CFC4" w14:textId="77777777" w:rsidR="00421D5A" w:rsidRDefault="00421D5A">
      <w:bookmarkStart w:id="0" w:name="_GoBack"/>
      <w:bookmarkEnd w:id="0"/>
    </w:p>
    <w:sectPr w:rsidR="00421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C83278"/>
    <w:multiLevelType w:val="multilevel"/>
    <w:tmpl w:val="E9C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D5A"/>
    <w:rsid w:val="00421D5A"/>
    <w:rsid w:val="005B1BB1"/>
    <w:rsid w:val="0089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E1D1F"/>
  <w15:chartTrackingRefBased/>
  <w15:docId w15:val="{C7BAB35F-10CE-4B46-9DCC-D5D0EE55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21D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9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283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86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6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27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2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ticias.terra.com.br/educacao/ibge-abandono-escolar-no-brasil-e-3-vezes-maior-que-na-europa,9608febb0345b310VgnCLD200000bbcceb0aRCRD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ticias.terra.com.br/educacao/ibge-abandono-escolar-no-brasil-e-3-vezes-maior-que-na-europa,9608febb0345b310VgnCLD200000bbcceb0aRCRD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cielo.br/scielo.php?script=sci_arttext&amp;pid=S0101-32622014000300349&amp;lng=pt&amp;tlng=p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408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Cunha</dc:creator>
  <cp:keywords/>
  <dc:description/>
  <cp:lastModifiedBy>José Antonio Cunha</cp:lastModifiedBy>
  <cp:revision>1</cp:revision>
  <dcterms:created xsi:type="dcterms:W3CDTF">2016-01-23T18:40:00Z</dcterms:created>
  <dcterms:modified xsi:type="dcterms:W3CDTF">2016-01-23T18:48:00Z</dcterms:modified>
</cp:coreProperties>
</file>