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2A44"/>
          <w:sz w:val="52"/>
        </w:rPr>
        <w:t>Documentación Técnica de Recursos Externos</w:t>
      </w:r>
    </w:p>
    <w:p>
      <w:pPr>
        <w:jc w:val="center"/>
      </w:pPr>
      <w:r>
        <w:rPr>
          <w:color w:val="2E74B5"/>
          <w:sz w:val="30"/>
        </w:rPr>
        <w:t>Sistema de Pase de Lista / Control de Asistencia</w:t>
        <w:br/>
        <w:t>QR + Reconocimiento Facial</w:t>
      </w:r>
    </w:p>
    <w:p>
      <w:pPr>
        <w:jc w:val="center"/>
      </w:pPr>
      <w:r>
        <w:rPr>
          <w:i/>
          <w:color w:val="555555"/>
          <w:sz w:val="22"/>
        </w:rPr>
        <w:t>Catálogo de tecnologías, licencias, fuentes oficiales y manuales adjuntos</w:t>
      </w:r>
    </w:p>
    <w:p/>
    <w:p>
      <w:pPr>
        <w:jc w:val="center"/>
      </w:pPr>
      <w:r>
        <w:rPr>
          <w:sz w:val="20"/>
        </w:rPr>
        <w:t>Fecha de elaboración: 08/09/2026</w:t>
        <w:br/>
      </w:r>
      <w:r>
        <w:rPr>
          <w:sz w:val="20"/>
        </w:rPr>
        <w:t>Elaborado con apoyo de Claude Code (Anthropic)</w:t>
      </w:r>
    </w:p>
    <w:p>
      <w:r>
        <w:br w:type="page"/>
      </w:r>
    </w:p>
    <w:p>
      <w:pPr>
        <w:pStyle w:val="Heading1"/>
      </w:pPr>
      <w:r>
        <w:rPr>
          <w:color w:val="1F2A44"/>
        </w:rPr>
        <w:t>1. Propósito del documento</w:t>
      </w:r>
    </w:p>
    <w:p>
      <w:r>
        <w:rPr>
          <w:b w:val="0"/>
          <w:i w:val="0"/>
          <w:sz w:val="21"/>
        </w:rPr>
        <w:t>Este documento reúne, para cada tecnología propuesta en el diseño del sistema de pase de lista (control de asistencia por código QR y reconocimiento facial), la fuente oficial, el tipo de licencia, las condiciones legales de uso comercial y el enlace a su documentación. Se incluyen tanto herramientas de código abierto (open source) como servicios y componentes propietarios que pueden usarse de forma legal bajo licencia o suscripción.</w:t>
      </w:r>
    </w:p>
    <w:p>
      <w:r>
        <w:rPr>
          <w:b w:val="0"/>
          <w:i w:val="0"/>
          <w:sz w:val="21"/>
        </w:rPr>
        <w:t>En la carpeta «Manuales_PDF», junto a este documento, se adjuntan copias de los manuales oficiales que sus propios proveedores publican para descarga pública (PostgreSQL, AWS Rekognition y OpenCV-Python). El resto de las tecnologías no publica un PDF unificado oficial; para esas se referencia el sitio de documentación en línea, que es la fuente autorizada y siempre actualizada.</w:t>
      </w:r>
    </w:p>
    <w:p>
      <w:pPr>
        <w:pStyle w:val="Heading2"/>
      </w:pPr>
      <w:r>
        <w:rPr>
          <w:color w:val="2E74B5"/>
        </w:rPr>
        <w:t>Cómo leer las fichas</w:t>
      </w:r>
    </w:p>
    <w:p>
      <w:pPr>
        <w:pStyle w:val="ListBullet"/>
      </w:pPr>
      <w:r>
        <w:t>Tipo: Open Source (código abierto) o Propietario/Comercial (no open source, pero de uso legal bajo licencia/ToS).</w:t>
      </w:r>
    </w:p>
    <w:p>
      <w:pPr>
        <w:pStyle w:val="ListBullet"/>
      </w:pPr>
      <w:r>
        <w:t>Licencia: la licencia exacta del proyecto o servicio.</w:t>
      </w:r>
    </w:p>
    <w:p>
      <w:pPr>
        <w:pStyle w:val="ListBullet"/>
      </w:pPr>
      <w:r>
        <w:t>Uso comercial: si requiere trámite, costo o restricción para usarse en una empresa.</w:t>
      </w:r>
    </w:p>
    <w:p>
      <w:pPr>
        <w:pStyle w:val="ListBullet"/>
      </w:pPr>
      <w:r>
        <w:t>Fuente oficial y Documentación: enlaces directos al sitio del proveedor.</w:t>
      </w:r>
    </w:p>
    <w:p>
      <w:pPr>
        <w:pStyle w:val="ListBullet"/>
      </w:pPr>
      <w:r>
        <w:t>Manual PDF adjunto: indica si el manual está incluido físicamente en la carpeta Manuales_PDF.</w:t>
      </w:r>
    </w:p>
    <w:p>
      <w:r>
        <w:br w:type="page"/>
      </w:r>
    </w:p>
    <w:p>
      <w:pPr>
        <w:pStyle w:val="Heading1"/>
      </w:pPr>
      <w:r>
        <w:rPr>
          <w:color w:val="1F2A44"/>
        </w:rPr>
        <w:t>2. Resumen de la pila tecnológica propuesta</w:t>
      </w:r>
    </w:p>
    <w:p>
      <w:r>
        <w:rPr>
          <w:b w:val="0"/>
          <w:i w:val="0"/>
          <w:sz w:val="21"/>
        </w:rPr>
        <w:t>Vista general de las tecnologías por capa del sistema.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E74B5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24"/>
            <w:shd w:fill="2E74B5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3324"/>
            <w:shd w:fill="2E74B5"/>
          </w:tcPr>
          <w:p>
            <w:r>
              <w:rPr>
                <w:b/>
                <w:color w:val="FFFFFF"/>
              </w:rPr>
              <w:t>Tipo</w:t>
            </w:r>
          </w:p>
        </w:tc>
      </w:tr>
      <w:tr>
        <w:tc>
          <w:tcPr>
            <w:tcW w:type="dxa" w:w="3324"/>
          </w:tcPr>
          <w:p>
            <w:r>
              <w:t>Backend / API</w:t>
            </w:r>
          </w:p>
        </w:tc>
        <w:tc>
          <w:tcPr>
            <w:tcW w:type="dxa" w:w="3324"/>
          </w:tcPr>
          <w:p>
            <w:r>
              <w:t>FastAPI</w:t>
            </w:r>
          </w:p>
        </w:tc>
        <w:tc>
          <w:tcPr>
            <w:tcW w:type="dxa" w:w="3324"/>
            <w:shd w:fill="E7F3E8"/>
          </w:tcPr>
          <w:p>
            <w:r>
              <w:t>Open Source</w:t>
            </w:r>
          </w:p>
        </w:tc>
      </w:tr>
      <w:tr>
        <w:tc>
          <w:tcPr>
            <w:tcW w:type="dxa" w:w="3324"/>
          </w:tcPr>
          <w:p>
            <w:r>
              <w:t>Base de datos</w:t>
            </w:r>
          </w:p>
        </w:tc>
        <w:tc>
          <w:tcPr>
            <w:tcW w:type="dxa" w:w="3324"/>
          </w:tcPr>
          <w:p>
            <w:r>
              <w:t>PostgreSQL + pgvector</w:t>
            </w:r>
          </w:p>
        </w:tc>
        <w:tc>
          <w:tcPr>
            <w:tcW w:type="dxa" w:w="3324"/>
            <w:shd w:fill="E7F3E8"/>
          </w:tcPr>
          <w:p>
            <w:r>
              <w:t>Open Source</w:t>
            </w:r>
          </w:p>
        </w:tc>
      </w:tr>
      <w:tr>
        <w:tc>
          <w:tcPr>
            <w:tcW w:type="dxa" w:w="3324"/>
          </w:tcPr>
          <w:p>
            <w:r>
              <w:t>Visión por computadora</w:t>
            </w:r>
          </w:p>
        </w:tc>
        <w:tc>
          <w:tcPr>
            <w:tcW w:type="dxa" w:w="3324"/>
          </w:tcPr>
          <w:p>
            <w:r>
              <w:t>OpenCV</w:t>
            </w:r>
          </w:p>
        </w:tc>
        <w:tc>
          <w:tcPr>
            <w:tcW w:type="dxa" w:w="3324"/>
            <w:shd w:fill="E7F3E8"/>
          </w:tcPr>
          <w:p>
            <w:r>
              <w:t>Open Source</w:t>
            </w:r>
          </w:p>
        </w:tc>
      </w:tr>
      <w:tr>
        <w:tc>
          <w:tcPr>
            <w:tcW w:type="dxa" w:w="3324"/>
          </w:tcPr>
          <w:p>
            <w:r>
              <w:t>Reconocimiento facial (motor)</w:t>
            </w:r>
          </w:p>
        </w:tc>
        <w:tc>
          <w:tcPr>
            <w:tcW w:type="dxa" w:w="3324"/>
          </w:tcPr>
          <w:p>
            <w:r>
              <w:t>DeepFace / InsightFace</w:t>
            </w:r>
          </w:p>
        </w:tc>
        <w:tc>
          <w:tcPr>
            <w:tcW w:type="dxa" w:w="3324"/>
            <w:shd w:fill="FFF4CE"/>
          </w:tcPr>
          <w:p>
            <w:r>
              <w:t>Open Source (modelos con restricciones)</w:t>
            </w:r>
          </w:p>
        </w:tc>
      </w:tr>
      <w:tr>
        <w:tc>
          <w:tcPr>
            <w:tcW w:type="dxa" w:w="3324"/>
          </w:tcPr>
          <w:p>
            <w:r>
              <w:t>Reconocimiento facial (nube, alternativa)</w:t>
            </w:r>
          </w:p>
        </w:tc>
        <w:tc>
          <w:tcPr>
            <w:tcW w:type="dxa" w:w="3324"/>
          </w:tcPr>
          <w:p>
            <w:r>
              <w:t>AWS Rekognition</w:t>
            </w:r>
          </w:p>
        </w:tc>
        <w:tc>
          <w:tcPr>
            <w:tcW w:type="dxa" w:w="3324"/>
            <w:shd w:fill="FDE9E9"/>
          </w:tcPr>
          <w:p>
            <w:r>
              <w:t>Propietario / Comercial</w:t>
            </w:r>
          </w:p>
        </w:tc>
      </w:tr>
      <w:tr>
        <w:tc>
          <w:tcPr>
            <w:tcW w:type="dxa" w:w="3324"/>
          </w:tcPr>
          <w:p>
            <w:r>
              <w:t>Reconocimiento facial (nube, alternativa)</w:t>
            </w:r>
          </w:p>
        </w:tc>
        <w:tc>
          <w:tcPr>
            <w:tcW w:type="dxa" w:w="3324"/>
          </w:tcPr>
          <w:p>
            <w:r>
              <w:t>Azure AI Face API</w:t>
            </w:r>
          </w:p>
        </w:tc>
        <w:tc>
          <w:tcPr>
            <w:tcW w:type="dxa" w:w="3324"/>
            <w:shd w:fill="FDE9E9"/>
          </w:tcPr>
          <w:p>
            <w:r>
              <w:t>Propietario / Comercial (acceso restringido)</w:t>
            </w:r>
          </w:p>
        </w:tc>
      </w:tr>
      <w:tr>
        <w:tc>
          <w:tcPr>
            <w:tcW w:type="dxa" w:w="3324"/>
          </w:tcPr>
          <w:p>
            <w:r>
              <w:t>Código QR — generación</w:t>
            </w:r>
          </w:p>
        </w:tc>
        <w:tc>
          <w:tcPr>
            <w:tcW w:type="dxa" w:w="3324"/>
          </w:tcPr>
          <w:p>
            <w:r>
              <w:t>python qrcode</w:t>
            </w:r>
          </w:p>
        </w:tc>
        <w:tc>
          <w:tcPr>
            <w:tcW w:type="dxa" w:w="3324"/>
            <w:shd w:fill="E7F3E8"/>
          </w:tcPr>
          <w:p>
            <w:r>
              <w:t>Open Source</w:t>
            </w:r>
          </w:p>
        </w:tc>
      </w:tr>
      <w:tr>
        <w:tc>
          <w:tcPr>
            <w:tcW w:type="dxa" w:w="3324"/>
          </w:tcPr>
          <w:p>
            <w:r>
              <w:t>Código QR — lectura</w:t>
            </w:r>
          </w:p>
        </w:tc>
        <w:tc>
          <w:tcPr>
            <w:tcW w:type="dxa" w:w="3324"/>
          </w:tcPr>
          <w:p>
            <w:r>
              <w:t>pyzbar (ZBar)</w:t>
            </w:r>
          </w:p>
        </w:tc>
        <w:tc>
          <w:tcPr>
            <w:tcW w:type="dxa" w:w="3324"/>
            <w:shd w:fill="FFF4CE"/>
          </w:tcPr>
          <w:p>
            <w:r>
              <w:t>Open Source (mixto MIT/LGPL)</w:t>
            </w:r>
          </w:p>
        </w:tc>
      </w:tr>
      <w:tr>
        <w:tc>
          <w:tcPr>
            <w:tcW w:type="dxa" w:w="3324"/>
          </w:tcPr>
          <w:p>
            <w:r>
              <w:t>Cliente unificado (escritorio/web/Android)</w:t>
            </w:r>
          </w:p>
        </w:tc>
        <w:tc>
          <w:tcPr>
            <w:tcW w:type="dxa" w:w="3324"/>
          </w:tcPr>
          <w:p>
            <w:r>
              <w:t>Flutter / Dart</w:t>
            </w:r>
          </w:p>
        </w:tc>
        <w:tc>
          <w:tcPr>
            <w:tcW w:type="dxa" w:w="3324"/>
            <w:shd w:fill="E7F3E8"/>
          </w:tcPr>
          <w:p>
            <w:r>
              <w:t>Open Source</w:t>
            </w:r>
          </w:p>
        </w:tc>
      </w:tr>
      <w:tr>
        <w:tc>
          <w:tcPr>
            <w:tcW w:type="dxa" w:w="3324"/>
          </w:tcPr>
          <w:p>
            <w:r>
              <w:t>Almacenamiento local en el kiosco</w:t>
            </w:r>
          </w:p>
        </w:tc>
        <w:tc>
          <w:tcPr>
            <w:tcW w:type="dxa" w:w="3324"/>
          </w:tcPr>
          <w:p>
            <w:r>
              <w:t>Drift (SQLite)</w:t>
            </w:r>
          </w:p>
        </w:tc>
        <w:tc>
          <w:tcPr>
            <w:tcW w:type="dxa" w:w="3324"/>
            <w:shd w:fill="E7F3E8"/>
          </w:tcPr>
          <w:p>
            <w:r>
              <w:t>Open Source</w:t>
            </w:r>
          </w:p>
        </w:tc>
      </w:tr>
      <w:tr>
        <w:tc>
          <w:tcPr>
            <w:tcW w:type="dxa" w:w="3324"/>
          </w:tcPr>
          <w:p>
            <w:r>
              <w:t>Contenedores / despliegue</w:t>
            </w:r>
          </w:p>
        </w:tc>
        <w:tc>
          <w:tcPr>
            <w:tcW w:type="dxa" w:w="3324"/>
          </w:tcPr>
          <w:p>
            <w:r>
              <w:t>Docker Engine</w:t>
            </w:r>
          </w:p>
        </w:tc>
        <w:tc>
          <w:tcPr>
            <w:tcW w:type="dxa" w:w="3324"/>
            <w:shd w:fill="E7F3E8"/>
          </w:tcPr>
          <w:p>
            <w:r>
              <w:t>Open Source</w:t>
            </w:r>
          </w:p>
        </w:tc>
      </w:tr>
      <w:tr>
        <w:tc>
          <w:tcPr>
            <w:tcW w:type="dxa" w:w="3324"/>
          </w:tcPr>
          <w:p>
            <w:r>
              <w:t>Contenedores / entorno de desarrollo</w:t>
            </w:r>
          </w:p>
        </w:tc>
        <w:tc>
          <w:tcPr>
            <w:tcW w:type="dxa" w:w="3324"/>
          </w:tcPr>
          <w:p>
            <w:r>
              <w:t>Docker Desktop</w:t>
            </w:r>
          </w:p>
        </w:tc>
        <w:tc>
          <w:tcPr>
            <w:tcW w:type="dxa" w:w="3324"/>
            <w:shd w:fill="FDE9E9"/>
          </w:tcPr>
          <w:p>
            <w:r>
              <w:t>Propietario (gratis solo bajo ciertas condiciones)</w:t>
            </w:r>
          </w:p>
        </w:tc>
      </w:tr>
      <w:tr>
        <w:tc>
          <w:tcPr>
            <w:tcW w:type="dxa" w:w="3324"/>
          </w:tcPr>
          <w:p>
            <w:r>
              <w:t>Notificaciones push</w:t>
            </w:r>
          </w:p>
        </w:tc>
        <w:tc>
          <w:tcPr>
            <w:tcW w:type="dxa" w:w="3324"/>
          </w:tcPr>
          <w:p>
            <w:r>
              <w:t>Firebase Cloud Messaging</w:t>
            </w:r>
          </w:p>
        </w:tc>
        <w:tc>
          <w:tcPr>
            <w:tcW w:type="dxa" w:w="3324"/>
            <w:shd w:fill="FDE9E9"/>
          </w:tcPr>
          <w:p>
            <w:r>
              <w:t>Propietario / Comercial (gratuito)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A44"/>
        </w:rPr>
        <w:t>3. Recursos Open Source</w:t>
      </w:r>
    </w:p>
    <w:p>
      <w:pPr>
        <w:pStyle w:val="Heading2"/>
      </w:pPr>
      <w:r>
        <w:rPr>
          <w:color w:val="2E74B5"/>
        </w:rPr>
        <w:t>FastAPI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MIT License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Permitido sin restricciones, incluido uso comercial.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9">
              <w:r>
                <w:rPr>
                  <w:color w:val="2E74B5"/>
                  <w:u w:val="single"/>
                  <w:sz w:val="20"/>
                </w:rPr>
                <w:t>https://fastapi.tiangolo.com/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9">
              <w:r>
                <w:rPr>
                  <w:color w:val="2E74B5"/>
                  <w:u w:val="single"/>
                  <w:sz w:val="20"/>
                </w:rPr>
                <w:t>https://fastapi.tiangolo.com/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(no publica PDF oficial unificado; la documentación web es la fuente autorizada).</w:t>
            </w:r>
          </w:p>
        </w:tc>
      </w:tr>
    </w:tbl>
    <w:p/>
    <w:p>
      <w:pPr>
        <w:pStyle w:val="Heading2"/>
      </w:pPr>
      <w:r>
        <w:rPr>
          <w:color w:val="2E74B5"/>
        </w:rPr>
        <w:t>PostgreSQL + extensión pgvector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PostgreSQL License (licencia permisiva estilo MIT/BSD) para PostgreSQL; pgvector bajo licencia PostgreSQL/MIT.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Permitido sin restricciones, incluido uso comercial.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10">
              <w:r>
                <w:rPr>
                  <w:color w:val="2E74B5"/>
                  <w:u w:val="single"/>
                  <w:sz w:val="20"/>
                </w:rPr>
                <w:t>https://www.postgresql.org/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11">
              <w:r>
                <w:rPr>
                  <w:color w:val="2E74B5"/>
                  <w:u w:val="single"/>
                  <w:sz w:val="20"/>
                </w:rPr>
                <w:t>https://www.postgresql.org/docs/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Sí — PostgreSQL_18_Documentation_A4.pdf</w:t>
            </w:r>
          </w:p>
        </w:tc>
      </w:tr>
    </w:tbl>
    <w:p/>
    <w:p>
      <w:pPr>
        <w:pStyle w:val="Heading2"/>
      </w:pPr>
      <w:r>
        <w:rPr>
          <w:color w:val="2E74B5"/>
        </w:rPr>
        <w:t>OpenCV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Apache License 2.0 (desde la versión 4.5; versiones 4.4 y anteriores bajo BSD de 3 cláusulas).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Permitido sin restricciones, incluido uso comercial.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12">
              <w:r>
                <w:rPr>
                  <w:color w:val="2E74B5"/>
                  <w:u w:val="single"/>
                  <w:sz w:val="20"/>
                </w:rPr>
                <w:t>https://opencv.org/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13">
              <w:r>
                <w:rPr>
                  <w:color w:val="2E74B5"/>
                  <w:u w:val="single"/>
                  <w:sz w:val="20"/>
                </w:rPr>
                <w:t>https://docs.opencv.org/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Sí — OpenCV_Python_Tutorials.pdf (tutoriales oficiales; cubre fundamentos de visión artificial usados para el escaneo de QR con cámara).</w:t>
            </w:r>
          </w:p>
        </w:tc>
      </w:tr>
    </w:tbl>
    <w:p/>
    <w:p>
      <w:pPr>
        <w:pStyle w:val="Heading2"/>
      </w:pPr>
      <w:r>
        <w:rPr>
          <w:color w:val="2E74B5"/>
        </w:rPr>
        <w:t>DeepFace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MIT License (el framework). Los modelos que envuelve tienen licencias distintas entre sí.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El framework se puede usar comercialmente sin problema. Ojo con el modelo VGG-Face, que está bajo Creative Commons Attribution y NO debe usarse en producto comercial; para uso en empresa se recomienda usar los backends ArcFace, SFace o Facenet dentro de DeepFace.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14">
              <w:r>
                <w:rPr>
                  <w:color w:val="2E74B5"/>
                  <w:u w:val="single"/>
                  <w:sz w:val="20"/>
                </w:rPr>
                <w:t>https://github.com/serengil/deepface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15">
              <w:r>
                <w:rPr>
                  <w:color w:val="2E74B5"/>
                  <w:u w:val="single"/>
                  <w:sz w:val="20"/>
                </w:rPr>
                <w:t>https://github.com/serengil/deepface#readme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(proyecto de GitHub, sin PDF oficial; el README es la documentación autorizada).</w:t>
            </w:r>
          </w:p>
        </w:tc>
      </w:tr>
    </w:tbl>
    <w:p>
      <w:r>
        <w:rPr>
          <w:i/>
          <w:color w:val="B06A00"/>
          <w:sz w:val="19"/>
        </w:rPr>
        <w:t>Nota legal: Verificar la licencia del backend/modelo específico que se seleccione antes de usarlo en producción.</w:t>
      </w:r>
    </w:p>
    <w:p/>
    <w:p>
      <w:pPr>
        <w:pStyle w:val="Heading2"/>
      </w:pPr>
      <w:r>
        <w:rPr>
          <w:color w:val="2E74B5"/>
        </w:rPr>
        <w:t>InsightFace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 (código) / Uso restringido (modelos)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Código: MIT License. Modelos preentrenados (incluido buffalo_l): licencia propia de InsightFace, uso NO comercial / solo investigación por defecto.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El motor de software es libre, pero los modelos de reconocimiento facial (buffalo_l y similares) NO pueden usarse en un producto comercial sin comprar una licencia comercial directamente con InsightFace (recognition-oss-pack@insightface.ai).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16">
              <w:r>
                <w:rPr>
                  <w:color w:val="2E74B5"/>
                  <w:u w:val="single"/>
                  <w:sz w:val="20"/>
                </w:rPr>
                <w:t>https://github.com/deepinsight/insightface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17">
              <w:r>
                <w:rPr>
                  <w:color w:val="2E74B5"/>
                  <w:u w:val="single"/>
                  <w:sz w:val="20"/>
                </w:rPr>
                <w:t>https://github.com/deepinsight/insightface/blob/master/model_zoo/README.md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(repositorio de GitHub; sin PDF oficial).</w:t>
            </w:r>
          </w:p>
        </w:tc>
      </w:tr>
    </w:tbl>
    <w:p>
      <w:r>
        <w:rPr>
          <w:i/>
          <w:color w:val="B02A2A"/>
          <w:sz w:val="19"/>
        </w:rPr>
        <w:t>Nota legal: IMPORTANTE: si esta aplicación es para una empresa, usar InsightFace con el modelo buffalo_l tal cual requiere licencia comercial pagada. Alternativa sin este problema: DeepFace con backend ArcFace/SFace, o contactar a InsightFace para licenciar.</w:t>
      </w:r>
    </w:p>
    <w:p/>
    <w:p>
      <w:pPr>
        <w:pStyle w:val="Heading2"/>
      </w:pPr>
      <w:r>
        <w:rPr>
          <w:color w:val="2E74B5"/>
        </w:rPr>
        <w:t>python qrcode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BSD License.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Permitido sin restricciones, incluido uso comercial.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18">
              <w:r>
                <w:rPr>
                  <w:color w:val="2E74B5"/>
                  <w:u w:val="single"/>
                  <w:sz w:val="20"/>
                </w:rPr>
                <w:t>https://pypi.org/project/qrcode/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19">
              <w:r>
                <w:rPr>
                  <w:color w:val="2E74B5"/>
                  <w:u w:val="single"/>
                  <w:sz w:val="20"/>
                </w:rPr>
                <w:t>https://github.com/lincolnloop/python-qrcode#readme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(paquete de PyPI/GitHub, sin PDF oficial).</w:t>
            </w:r>
          </w:p>
        </w:tc>
      </w:tr>
    </w:tbl>
    <w:p/>
    <w:p>
      <w:pPr>
        <w:pStyle w:val="Heading2"/>
      </w:pPr>
      <w:r>
        <w:rPr>
          <w:color w:val="2E74B5"/>
        </w:rPr>
        <w:t>pyzbar (motor ZBar)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 (mixto)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pyzbar (wrapper Python): MIT License. Librería ZBar subyacente: GNU LGPL 2.1.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Permitido en uso comercial. La LGPL 2.1 de ZBar exige que, si se modifica y redistribuye la librería ZBar en sí, esos cambios se liberen; usarla sin modificar (como dependencia dinámica) no obliga a liberar el código propio de la aplicación.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20">
              <w:r>
                <w:rPr>
                  <w:color w:val="2E74B5"/>
                  <w:u w:val="single"/>
                  <w:sz w:val="20"/>
                </w:rPr>
                <w:t>https://github.com/NaturalHistoryMuseum/pyzbar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21">
              <w:r>
                <w:rPr>
                  <w:color w:val="2E74B5"/>
                  <w:u w:val="single"/>
                  <w:sz w:val="20"/>
                </w:rPr>
                <w:t>https://github.com/NaturalHistoryMuseum/pyzbar#readme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(repositorio de GitHub; sin PDF oficial).</w:t>
            </w:r>
          </w:p>
        </w:tc>
      </w:tr>
    </w:tbl>
    <w:p>
      <w:r>
        <w:rPr>
          <w:i/>
          <w:color w:val="B06A00"/>
          <w:sz w:val="19"/>
        </w:rPr>
        <w:t>Nota legal: No requiere abrir el código propio, solo respetar la licencia LGPL si se modifica ZBar.</w:t>
      </w:r>
    </w:p>
    <w:p/>
    <w:p>
      <w:pPr>
        <w:pStyle w:val="Heading2"/>
      </w:pPr>
      <w:r>
        <w:rPr>
          <w:color w:val="2E74B5"/>
        </w:rPr>
        <w:t>Flutter / Dart SDK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BSD 3-Clause License (Flutter y Dart).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Permitido sin restricciones, incluido uso comercial.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22">
              <w:r>
                <w:rPr>
                  <w:color w:val="2E74B5"/>
                  <w:u w:val="single"/>
                  <w:sz w:val="20"/>
                </w:rPr>
                <w:t>https://flutter.dev/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23">
              <w:r>
                <w:rPr>
                  <w:color w:val="2E74B5"/>
                  <w:u w:val="single"/>
                  <w:sz w:val="20"/>
                </w:rPr>
                <w:t>https://docs.flutter.dev/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(documentación solo en línea, sin PDF unificado oficial).</w:t>
            </w:r>
          </w:p>
        </w:tc>
      </w:tr>
    </w:tbl>
    <w:p/>
    <w:p>
      <w:pPr>
        <w:pStyle w:val="Heading2"/>
      </w:pPr>
      <w:r>
        <w:rPr>
          <w:color w:val="2E74B5"/>
        </w:rPr>
        <w:t>Drift (ORM SQLite para Flutter)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MIT License.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Permitido sin restricciones, incluido uso comercial.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24">
              <w:r>
                <w:rPr>
                  <w:color w:val="2E74B5"/>
                  <w:u w:val="single"/>
                  <w:sz w:val="20"/>
                </w:rPr>
                <w:t>https://drift.simonbinder.eu/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25">
              <w:r>
                <w:rPr>
                  <w:color w:val="2E74B5"/>
                  <w:u w:val="single"/>
                  <w:sz w:val="20"/>
                </w:rPr>
                <w:t>https://drift.simonbinder.eu/docs/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(documentación solo en línea).</w:t>
            </w:r>
          </w:p>
        </w:tc>
      </w:tr>
    </w:tbl>
    <w:p/>
    <w:p>
      <w:pPr>
        <w:pStyle w:val="Heading2"/>
      </w:pPr>
      <w:r>
        <w:rPr>
          <w:color w:val="2E74B5"/>
        </w:rPr>
        <w:t>Docker Engine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Open Source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Apache License 2.0 (el motor / CLI / daemon de Docker son de código abierto, proyecto Moby).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Permitido sin restricciones para desplegar el backend en un servidor Linux.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26">
              <w:r>
                <w:rPr>
                  <w:color w:val="2E74B5"/>
                  <w:u w:val="single"/>
                  <w:sz w:val="20"/>
                </w:rPr>
                <w:t>https://www.docker.com/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27">
              <w:r>
                <w:rPr>
                  <w:color w:val="2E74B5"/>
                  <w:u w:val="single"/>
                  <w:sz w:val="20"/>
                </w:rPr>
                <w:t>https://docs.docker.com/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(sin PDF unificado oficial).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A44"/>
        </w:rPr>
        <w:t>4. Recursos no open source (uso legal bajo licencia/suscripción)</w:t>
      </w:r>
    </w:p>
    <w:p>
      <w:r>
        <w:rPr>
          <w:b w:val="0"/>
          <w:i w:val="0"/>
          <w:sz w:val="21"/>
        </w:rPr>
        <w:t>Estas alternativas no son de código abierto, pero son legales y viables si se contratan bajo sus términos de servicio. Se documentan como opción de respaldo si el reconocimiento facial local (DeepFace/InsightFace) no cumple los requisitos de precisión, soporte o responsabilidad legal que la empresa necesite.</w:t>
      </w:r>
    </w:p>
    <w:p>
      <w:pPr>
        <w:pStyle w:val="Heading2"/>
      </w:pPr>
      <w:r>
        <w:rPr>
          <w:color w:val="2E74B5"/>
        </w:rPr>
        <w:t>AWS Rekognition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Propietario / Comercial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Servicio bajo el AWS Customer Agreement / Términos de Servicio de AWS. No es de código abierto; se paga por uso (por imagen/minuto procesado).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Uso comercial permitido y es su caso de uso principal (reconocimiento facial empresarial). Requiere cuenta de AWS y aceptar los términos de servicio; el costo escala con el volumen de reconocimientos (relevante si son muchos empleados marcando entrada/salida a diario).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28">
              <w:r>
                <w:rPr>
                  <w:color w:val="2E74B5"/>
                  <w:u w:val="single"/>
                  <w:sz w:val="20"/>
                </w:rPr>
                <w:t>https://aws.amazon.com/rekognition/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29">
              <w:r>
                <w:rPr>
                  <w:color w:val="2E74B5"/>
                  <w:u w:val="single"/>
                  <w:sz w:val="20"/>
                </w:rPr>
                <w:t>https://docs.aws.amazon.com/rekognition/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Sí — AWS_Rekognition_Developer_Guide.pdf</w:t>
            </w:r>
          </w:p>
        </w:tc>
      </w:tr>
    </w:tbl>
    <w:p/>
    <w:p>
      <w:pPr>
        <w:pStyle w:val="Heading2"/>
      </w:pPr>
      <w:r>
        <w:rPr>
          <w:color w:val="2E74B5"/>
        </w:rPr>
        <w:t>Azure AI Face API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Propietario / Comercial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Servicio de Microsoft Azure bajo los términos de Microsoft Cognitive Services. No es de código abierto; se paga por uso.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Desde 2020 Microsoft restringió el acceso a las funciones de identificación/verificación facial («Limited Access»): hay que registrarse y ser aprobado por Microsoft explicando el caso de uso antes de poder usarlas; no es autoservicio inmediato. No disponible en el nivel gratuito (F0), requiere nivel de pago (S0/E0).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30">
              <w:r>
                <w:rPr>
                  <w:color w:val="2E74B5"/>
                  <w:u w:val="single"/>
                  <w:sz w:val="20"/>
                </w:rPr>
                <w:t>https://azure.microsoft.com/products/ai-services/ai-vision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31">
              <w:r>
                <w:rPr>
                  <w:color w:val="2E74B5"/>
                  <w:u w:val="single"/>
                  <w:sz w:val="20"/>
                </w:rPr>
                <w:t>https://learn.microsoft.com/azure/ai-services/computer-vision/overview-identity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(Microsoft Learn ya no ofrece exportación oficial a PDF).</w:t>
            </w:r>
          </w:p>
        </w:tc>
      </w:tr>
    </w:tbl>
    <w:p>
      <w:r>
        <w:rPr>
          <w:i/>
          <w:color w:val="B06A00"/>
          <w:sz w:val="19"/>
        </w:rPr>
        <w:t>Nota legal: Planear tiempo extra: la aprobación de acceso de Microsoft no es inmediata y puede tardar días.</w:t>
      </w:r>
    </w:p>
    <w:p/>
    <w:p>
      <w:pPr>
        <w:pStyle w:val="Heading2"/>
      </w:pPr>
      <w:r>
        <w:rPr>
          <w:color w:val="2E74B5"/>
        </w:rPr>
        <w:t>Docker Desktop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Propietario (freemium)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Docker Subscription Service Agreement.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Gratuito solo para empresas con MENOS de 250 empleados Y MENOS de 10 millones de USD de ingresos anuales. Si la empresa supera cualquiera de esos dos límites, se necesita suscripción paga por usuario (planes Pro/Team/Business, ~9 a 24 USD/usuario/mes).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26">
              <w:r>
                <w:rPr>
                  <w:color w:val="2E74B5"/>
                  <w:u w:val="single"/>
                  <w:sz w:val="20"/>
                </w:rPr>
                <w:t>https://www.docker.com/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32">
              <w:r>
                <w:rPr>
                  <w:color w:val="2E74B5"/>
                  <w:u w:val="single"/>
                  <w:sz w:val="20"/>
                </w:rPr>
                <w:t>https://docs.docker.com/subscription/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(sin PDF unificado oficial).</w:t>
            </w:r>
          </w:p>
        </w:tc>
      </w:tr>
    </w:tbl>
    <w:p>
      <w:r>
        <w:rPr>
          <w:i/>
          <w:color w:val="B02A2A"/>
          <w:sz w:val="19"/>
        </w:rPr>
        <w:t>Nota legal: Confirmar el tamaño/ingresos de la empresa antes de instalar Docker Desktop en las máquinas de desarrollo; para el servidor de producción esto no aplica porque ahí se usa Docker Engine (open source), no Docker Desktop.</w:t>
      </w:r>
    </w:p>
    <w:p/>
    <w:p>
      <w:pPr>
        <w:pStyle w:val="Heading2"/>
      </w:pPr>
      <w:r>
        <w:rPr>
          <w:color w:val="2E74B5"/>
        </w:rPr>
        <w:t>Firebase Cloud Messaging (FCM)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86"/>
          </w:tcPr>
          <w:p>
            <w:r>
              <w:t>Propietario / Comercial (gratuito)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Licencia</w:t>
            </w:r>
          </w:p>
        </w:tc>
        <w:tc>
          <w:tcPr>
            <w:tcW w:type="dxa" w:w="4986"/>
          </w:tcPr>
          <w:p>
            <w:r>
              <w:t>Google APIs Terms of Service / Firebase Terms of Service.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Uso comercial</w:t>
            </w:r>
          </w:p>
        </w:tc>
        <w:tc>
          <w:tcPr>
            <w:tcW w:type="dxa" w:w="4986"/>
          </w:tcPr>
          <w:p>
            <w:r>
              <w:t>Gratuito en su totalidad para el volumen típico de notificaciones de una app de asistencia; no es de código abierto pero su uso comercial está permitido sin costo bajo los términos de Google.</w:t>
            </w:r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Sitio oficial</w:t>
            </w:r>
          </w:p>
        </w:tc>
        <w:tc>
          <w:tcPr>
            <w:tcW w:type="dxa" w:w="4986"/>
          </w:tcPr>
          <w:p>
            <w:hyperlink r:id="rId33">
              <w:r>
                <w:rPr>
                  <w:color w:val="2E74B5"/>
                  <w:u w:val="single"/>
                  <w:sz w:val="20"/>
                </w:rPr>
                <w:t>https://firebase.google.com/products/cloud-messaging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4986"/>
          </w:tcPr>
          <w:p>
            <w:hyperlink r:id="rId34">
              <w:r>
                <w:rPr>
                  <w:color w:val="2E74B5"/>
                  <w:u w:val="single"/>
                  <w:sz w:val="20"/>
                </w:rPr>
                <w:t>https://firebase.google.com/docs/cloud-messaging</w:t>
              </w:r>
            </w:hyperlink>
          </w:p>
        </w:tc>
      </w:tr>
      <w:tr>
        <w:tc>
          <w:tcPr>
            <w:tcW w:type="dxa" w:w="2154"/>
          </w:tcPr>
          <w:p>
            <w:r>
              <w:rPr>
                <w:b/>
              </w:rPr>
              <w:t>Manual PDF adjunto</w:t>
            </w:r>
          </w:p>
        </w:tc>
        <w:tc>
          <w:tcPr>
            <w:tcW w:type="dxa" w:w="4986"/>
          </w:tcPr>
          <w:p>
            <w:r>
              <w:t>No (sin PDF unificado oficial).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A44"/>
        </w:rPr>
        <w:t>5. Puntos legales a resolver antes de producción</w:t>
      </w:r>
    </w:p>
    <w:p>
      <w:pPr>
        <w:pStyle w:val="ListBullet"/>
      </w:pPr>
      <w:r>
        <w:t>Reconocimiento facial local: usar DeepFace con backend ArcFace o SFace (no VGG-Face) para evitar la restricción de uso no comercial, o contactar a InsightFace para licenciar buffalo_l si se prefiere ese motor.</w:t>
      </w:r>
    </w:p>
    <w:p>
      <w:pPr>
        <w:pStyle w:val="ListBullet"/>
      </w:pPr>
      <w:r>
        <w:t>Datos biométricos: la plantilla facial de cada empleado es un dato personal sensible. Se debe documentar consentimiento informado y política de resguardo/eliminación conforme a la legislación de protección de datos aplicable (en México, LFPDPPP).</w:t>
      </w:r>
    </w:p>
    <w:p>
      <w:pPr>
        <w:pStyle w:val="ListBullet"/>
      </w:pPr>
      <w:r>
        <w:t>Docker Desktop: verificar tamaño de la empresa antes de instalarlo gratis en equipos de desarrollo; en el servidor de producción usar Docker Engine (Linux), que no tiene esta restricción.</w:t>
      </w:r>
    </w:p>
    <w:p>
      <w:pPr>
        <w:pStyle w:val="ListBullet"/>
      </w:pPr>
      <w:r>
        <w:t>Si se opta por Azure Face API como respaldo en la nube, iniciar el trámite de aprobación de «Limited Access» con anticipación, ya que no es acceso inmediato.</w:t>
      </w:r>
    </w:p>
    <w:p/>
    <w:p>
      <w:pPr>
        <w:pStyle w:val="Heading1"/>
      </w:pPr>
      <w:r>
        <w:rPr>
          <w:color w:val="1F2A44"/>
        </w:rPr>
        <w:t>6. Contenido de la carpeta Manuales_PDF</w:t>
      </w:r>
    </w:p>
    <w:p>
      <w:r>
        <w:rPr>
          <w:b w:val="0"/>
          <w:i w:val="0"/>
          <w:sz w:val="21"/>
        </w:rPr>
        <w:t>Junto a este documento, en el Escritorio, se incluye la carpeta «Manuales_PDF» con:</w:t>
      </w:r>
    </w:p>
    <w:p>
      <w:pPr>
        <w:pStyle w:val="ListBullet"/>
      </w:pPr>
      <w:r>
        <w:t>PostgreSQL_18_Documentation_A4.pdf — Manual oficial completo de PostgreSQL 18 (postgresql.org).</w:t>
      </w:r>
    </w:p>
    <w:p>
      <w:pPr>
        <w:pStyle w:val="ListBullet"/>
      </w:pPr>
      <w:r>
        <w:t>AWS_Rekognition_Developer_Guide.pdf — Guía oficial para desarrolladores de AWS Rekognition (docs.aws.amazon.com).</w:t>
      </w:r>
    </w:p>
    <w:p>
      <w:pPr>
        <w:pStyle w:val="ListBullet"/>
      </w:pPr>
      <w:r>
        <w:t>OpenCV_Python_Tutorials.pdf — Tutoriales oficiales de OpenCV para Python (docs.opencv.org).</w:t>
      </w:r>
    </w:p>
    <w:p>
      <w:r>
        <w:rPr>
          <w:b w:val="0"/>
          <w:i/>
          <w:color w:val="555555"/>
          <w:sz w:val="19"/>
        </w:rPr>
        <w:t>El resto de las tecnologías listadas no publican un manual PDF único por parte de su proveedor; para esas, el enlace de «Documentación» en cada ficha es la fuente oficial y siempre vigente.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astapi.tiangolo.com/" TargetMode="External"/><Relationship Id="rId10" Type="http://schemas.openxmlformats.org/officeDocument/2006/relationships/hyperlink" Target="https://www.postgresql.org/" TargetMode="External"/><Relationship Id="rId11" Type="http://schemas.openxmlformats.org/officeDocument/2006/relationships/hyperlink" Target="https://www.postgresql.org/docs/" TargetMode="External"/><Relationship Id="rId12" Type="http://schemas.openxmlformats.org/officeDocument/2006/relationships/hyperlink" Target="https://opencv.org/" TargetMode="External"/><Relationship Id="rId13" Type="http://schemas.openxmlformats.org/officeDocument/2006/relationships/hyperlink" Target="https://docs.opencv.org/" TargetMode="External"/><Relationship Id="rId14" Type="http://schemas.openxmlformats.org/officeDocument/2006/relationships/hyperlink" Target="https://github.com/serengil/deepface" TargetMode="External"/><Relationship Id="rId15" Type="http://schemas.openxmlformats.org/officeDocument/2006/relationships/hyperlink" Target="https://github.com/serengil/deepface#readme" TargetMode="External"/><Relationship Id="rId16" Type="http://schemas.openxmlformats.org/officeDocument/2006/relationships/hyperlink" Target="https://github.com/deepinsight/insightface" TargetMode="External"/><Relationship Id="rId17" Type="http://schemas.openxmlformats.org/officeDocument/2006/relationships/hyperlink" Target="https://github.com/deepinsight/insightface/blob/master/model_zoo/README.md" TargetMode="External"/><Relationship Id="rId18" Type="http://schemas.openxmlformats.org/officeDocument/2006/relationships/hyperlink" Target="https://pypi.org/project/qrcode/" TargetMode="External"/><Relationship Id="rId19" Type="http://schemas.openxmlformats.org/officeDocument/2006/relationships/hyperlink" Target="https://github.com/lincolnloop/python-qrcode#readme" TargetMode="External"/><Relationship Id="rId20" Type="http://schemas.openxmlformats.org/officeDocument/2006/relationships/hyperlink" Target="https://github.com/NaturalHistoryMuseum/pyzbar" TargetMode="External"/><Relationship Id="rId21" Type="http://schemas.openxmlformats.org/officeDocument/2006/relationships/hyperlink" Target="https://github.com/NaturalHistoryMuseum/pyzbar#readme" TargetMode="External"/><Relationship Id="rId22" Type="http://schemas.openxmlformats.org/officeDocument/2006/relationships/hyperlink" Target="https://flutter.dev/" TargetMode="External"/><Relationship Id="rId23" Type="http://schemas.openxmlformats.org/officeDocument/2006/relationships/hyperlink" Target="https://docs.flutter.dev/" TargetMode="External"/><Relationship Id="rId24" Type="http://schemas.openxmlformats.org/officeDocument/2006/relationships/hyperlink" Target="https://drift.simonbinder.eu/" TargetMode="External"/><Relationship Id="rId25" Type="http://schemas.openxmlformats.org/officeDocument/2006/relationships/hyperlink" Target="https://drift.simonbinder.eu/docs/" TargetMode="External"/><Relationship Id="rId26" Type="http://schemas.openxmlformats.org/officeDocument/2006/relationships/hyperlink" Target="https://www.docker.com/" TargetMode="External"/><Relationship Id="rId27" Type="http://schemas.openxmlformats.org/officeDocument/2006/relationships/hyperlink" Target="https://docs.docker.com/" TargetMode="External"/><Relationship Id="rId28" Type="http://schemas.openxmlformats.org/officeDocument/2006/relationships/hyperlink" Target="https://aws.amazon.com/rekognition/" TargetMode="External"/><Relationship Id="rId29" Type="http://schemas.openxmlformats.org/officeDocument/2006/relationships/hyperlink" Target="https://docs.aws.amazon.com/rekognition/" TargetMode="External"/><Relationship Id="rId30" Type="http://schemas.openxmlformats.org/officeDocument/2006/relationships/hyperlink" Target="https://azure.microsoft.com/products/ai-services/ai-vision" TargetMode="External"/><Relationship Id="rId31" Type="http://schemas.openxmlformats.org/officeDocument/2006/relationships/hyperlink" Target="https://learn.microsoft.com/azure/ai-services/computer-vision/overview-identity" TargetMode="External"/><Relationship Id="rId32" Type="http://schemas.openxmlformats.org/officeDocument/2006/relationships/hyperlink" Target="https://docs.docker.com/subscription/" TargetMode="External"/><Relationship Id="rId33" Type="http://schemas.openxmlformats.org/officeDocument/2006/relationships/hyperlink" Target="https://firebase.google.com/products/cloud-messaging" TargetMode="External"/><Relationship Id="rId34" Type="http://schemas.openxmlformats.org/officeDocument/2006/relationships/hyperlink" Target="https://firebase.google.com/docs/cloud-messag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