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t>Plan de trabajo del TFM</w:t>
      </w:r>
    </w:p>
    <w:p>
      <w:pPr>
        <w:spacing w:after="340"/>
        <w:jc w:val="center"/>
      </w:pPr>
      <w:r>
        <w:t xml:space="preserve">Benchmark reproducible de predictores de promotores en </w:t>
      </w:r>
      <w:r>
        <w:rPr>
          <w:i/>
        </w:rPr>
        <w:t>Streptococcus pneumoniae</w:t>
      </w:r>
    </w:p>
    <w:p>
      <w:pPr>
        <w:jc w:val="center"/>
      </w:pPr>
      <w:r>
        <w:t>Borrador revisado para la actividad P1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463"/>
      </w:tblGrid>
      <w:tr>
        <w:trPr>
          <w:cantSplit/>
          <w:tblHeader w:val="true"/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9"/>
              </w:rPr>
              <w:t>Información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Estudiante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[Nombre y apellidos]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Máster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Máster Universitario en Bioinformática y Bioestadística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Asignatura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Trabajo Final de Máster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Tutor o tutora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[Nombre del tutor o tutora]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Curso académico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2026–2027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19"/>
              </w:rPr>
              <w:t>Versión</w:t>
            </w:r>
          </w:p>
        </w:tc>
        <w:tc>
          <w:tcPr>
            <w:tcW w:type="dxa" w:w="646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Borrador revisado P1</w:t>
            </w:r>
          </w:p>
        </w:tc>
      </w:tr>
    </w:tbl>
    <w:p>
      <w:pPr>
        <w:spacing w:after="160"/>
      </w:pPr>
    </w:p>
    <w:p>
      <w:pPr>
        <w:jc w:val="center"/>
      </w:pPr>
      <w:r>
        <w:t>Este documento presenta el alcance, los objetivos, el enfoque metodológico y la planificación del TFM. Las fechas concretas se ajustarán al calendario oficial de la asignatura.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0  Título y palabras clave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6860"/>
      </w:tblGrid>
      <w:tr>
        <w:trPr>
          <w:cantSplit/>
          <w:tblHeader w:val="true"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Elemento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Propuesta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Título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 xml:space="preserve">Benchmark reproducible de predictores de promotores en </w:t>
            </w:r>
            <w:r>
              <w:rPr>
                <w:i/>
              </w:rPr>
              <w:t>Streptococcus pneumoniae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Palabras clave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 xml:space="preserve">promotores bacterianos; </w:t>
            </w:r>
            <w:r>
              <w:rPr>
                <w:i/>
              </w:rPr>
              <w:t>Streptococcus pneumoniae</w:t>
            </w:r>
            <w:r>
              <w:t>; predicción de promotores; sitios de inicio de transcripción; benchmarking; reproducibilidad; recursos computacionales</w:t>
            </w:r>
          </w:p>
        </w:tc>
      </w:tr>
    </w:tbl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1  Contexto y justificación del trabajo</w:t>
      </w:r>
    </w:p>
    <w:p>
      <w:r>
        <w:t>Este Trabajo de Fin de Máster se enmarca en el ámbito de la bioinformática y la genómica bacteriana, concretamente en el análisis computacional de regiones promotoras. Los promotores bacterianos condicionan el inicio de la transcripción y, por tanto, influyen en la expresión génica, la adaptación celular y la virulencia. Su identificación facilita la anotación funcional de genomas. Sin embargo, el número de genomas bacterianos secuenciados supera ampliamente la capacidad de caracterizar experimentalmente sus promotores.</w:t>
      </w:r>
    </w:p>
    <w:p>
      <w:r>
        <w:t>Para abordar esta limitación se han desarrollado predictores basados en motivos, reglas, modelos estadísticos, aprendizaje automático, aprendizaje profundo y modelos de lenguaje genómico. Estas herramientas se han entrenado con especies, tipos de promotor, conjuntos negativos y criterios de evaluación diferentes. Sus resultados no siempre son comparables de manera directa, por lo que son necesarios benchmarks con conjuntos de referencia bien definidos, métricas homogéneas y condiciones de ejecución documentadas (Cassiano y Silva Rocha, 2020; Weber et al., 2019).</w:t>
      </w:r>
    </w:p>
    <w:p>
      <w:r>
        <w:t xml:space="preserve">Este trabajo se centra en </w:t>
      </w:r>
      <w:r>
        <w:rPr>
          <w:i/>
        </w:rPr>
        <w:t>Streptococcus pneumoniae</w:t>
      </w:r>
      <w:r>
        <w:t xml:space="preserve">, una bacteria Gram positiva y anaerobia facultativa de importancia clínica, capaz de colonizar la nasofaringe y de causar otitis, sinusitis, neumonía, bacteriemia y meningitis (CDC, 2026). Además de su relevancia clínica, </w:t>
      </w:r>
      <w:r>
        <w:rPr>
          <w:i/>
        </w:rPr>
        <w:t>S. pneumoniae</w:t>
      </w:r>
      <w:r>
        <w:t xml:space="preserve"> presenta una elevada diversidad poblacional. Variantes en sus regiones promotoras pueden modificar la expresión génica, la encapsulación, la adhesión y la virulencia entre cepas (Wen et al., 2016; Barton et al., 2025).</w:t>
      </w:r>
    </w:p>
    <w:p>
      <w:pPr/>
      <w:r>
        <w:t xml:space="preserve">En particular, </w:t>
      </w:r>
      <w:r>
        <w:rPr>
          <w:i/>
        </w:rPr>
        <w:t>S. pneumoniae</w:t>
      </w:r>
      <w:r>
        <w:t xml:space="preserve"> posee un factor sigma principal, SigA, y un factor sigma alternativo, SigX o ComX, implicado en el estado de competencia y la transformación genética. Esto permite estudiar predictores en grupos de promotores con funciones reguladoras diferentes. El TFM desarrollará un benchmark reproducible de herramientas de predicción de promotores en </w:t>
      </w:r>
      <w:r>
        <w:rPr>
          <w:i/>
        </w:rPr>
        <w:t>S. pneumoniae</w:t>
      </w:r>
      <w:r>
        <w:t>, comparando precisión, comportamiento entre cepas y factores sigma, requisitos computacionales y facilidad de ejecución. El resultado servirá de base para futuros estudios de variación promotora a gran escala.</w:t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2  Descripción general</w:t>
      </w:r>
    </w:p>
    <w:p>
      <w:r>
        <w:t xml:space="preserve">El TFM consistirá en diseñar, ejecutar y analizar un benchmark reproducible de nueve herramientas de predicción de promotores bacterianos. El benchmark base utilizará un conjunto canónico de alta confianza de </w:t>
      </w:r>
      <w:r>
        <w:rPr>
          <w:i/>
        </w:rPr>
        <w:t>S. pneumoniae</w:t>
      </w:r>
      <w:r>
        <w:t xml:space="preserve"> D39V y TIGR4, compuesto por 3.465 secuencias: 1.727 positivas asociadas a sitios de inicio de transcripción y 1.738 controles negativos procedentes de regiones codificantes. Cada conjunto se documentará mediante metadatos y manifiestos que permitan identificar su origen, composición y versión.</w:t>
      </w:r>
    </w:p>
    <w:p>
      <w:r>
        <w:t>Las herramientas se integrarán en un flujo común de ejecución local. Cada corrida generará tres grupos de resultados: inferencia, recursos y tablas. La inferencia contendrá predicciones y curvas ROC y de precisión-recall; los recursos recogerán tiempo de ejecución, RAM, VRAM y tamaño de los modelos; y las tablas almacenarán métricas, matrices de confusión y resúmenes comparativos. Se compararán regímenes con uno y dieciséis núcleos de CPU, con y sin GPU cuando la herramienta lo permita, manteniendo el mismo conjunto de entrada.</w:t>
      </w:r>
    </w:p>
    <w:p>
      <w:r>
        <w:t>El producto final será un protocolo de benchmark, datasets trazables, un flujo de ejecución y análisis reutilizable, resultados comparativos en PNG y PDF, tablas TSV y una memoria que interprete los hallazgos desde una perspectiva bioinformática y computacional.</w:t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3  Impacto en sostenibilidad ético social y diversidad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3.1  Sostenibilidad</w:t>
      </w:r>
    </w:p>
    <w:p>
      <w:r>
        <w:t>El trabajo medirá los recursos necesarios para ejecutar cada herramienta. Esta información permitirá identificar alternativas que ofrezcan una relación razonable entre desempeño y coste computacional, evitando repetir corridas o utilizar configuraciones de alta demanda cuando no aporten una mejora relevante. La reutilización de datasets, entornos documentados, manifiestos y resultados versionados reducirá cálculos innecesarios y favorecerá un uso eficiente de la infraestructura disponible.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3.2  Dimensión ético social</w:t>
      </w:r>
    </w:p>
    <w:p>
      <w:r>
        <w:t>El estudio se basa en datos genómicos públicos y no contempla intervención clínica, experimentación con personas ni manipulación de muestras biológicas. Las herramientas se evaluarán como métodos de apoyo a la investigación y no como sistemas de diagnóstico o de decisión clínica. El código, los parámetros, las versiones y las limitaciones del benchmark se documentarán para permitir la revisión crítica de los resultados.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3.3  Diversidad y acceso</w:t>
      </w:r>
    </w:p>
    <w:p>
      <w:r>
        <w:t>La comparación incluirá configuraciones de cómputo moderadas y de mayor capacidad para no asumir que todas las personas usuarias tienen acceso a GPU o a servidores especializados. La presentación separará desempeño predictivo y demanda de recursos, facilitando decisiones informadas en laboratorios y entornos académicos con capacidades computacionales diferentes.</w:t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4  Objetivos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4.1  Objetivos generales</w:t>
      </w:r>
    </w:p>
    <w:p>
      <w:pPr>
        <w:pStyle w:val="ListNumber"/>
        <w:spacing w:after="60"/>
      </w:pPr>
      <w:r>
        <w:t xml:space="preserve">Desarrollar un benchmark reproducible para evaluar herramientas de predicción de promotores en </w:t>
      </w:r>
      <w:r>
        <w:rPr>
          <w:i/>
        </w:rPr>
        <w:t>Streptococcus pneumoniae</w:t>
      </w:r>
      <w:r>
        <w:t>, integrando desempeño predictivo, análisis por cepa y factor sigma, consumo de recursos y escalabilidad.</w:t>
      </w:r>
    </w:p>
    <w:p>
      <w:pPr>
        <w:pStyle w:val="ListNumber"/>
        <w:spacing w:after="60"/>
      </w:pPr>
    </w:p>
    <w:p>
      <w:pPr>
        <w:pStyle w:val="ListNumber"/>
        <w:spacing w:after="60"/>
      </w:pP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4.2  Objetivos específicos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134"/>
        <w:gridCol w:w="6237"/>
      </w:tblGrid>
      <w:tr>
        <w:trPr>
          <w:cantSplit/>
          <w:tblHeader w:val="true"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OG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Código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Objetivo específico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OE1.1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Definir el conjunto canónico, los criterios de inclusión y la trazabilidad de las secuencias positivas y negativas.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OE1.2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Documentar datasets y manifiestos que permitan verificar su composición, origen y versión.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OE1.3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Integrar nueve herramientas bajo una interfaz de línea de comandos y condiciones de entrada comparables.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OE1.4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Ejecutar las herramientas en regímenes de CPU y GPU definidos.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OE1.5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Calcular métricas de clasificación, curvas ROC y de precisión-recall, y matrices de confusión por herramienta.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OE1.6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Analizar resultados por cepa y por grupos de promotores asociados a SigA, ComX y otras categorías.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OE1.7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Medir tiempo de ejecución, RAM, VRAM y tamaño de modelo en regímenes equivalentes.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OE1.8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Generar gráficos individuales en PNG y PDF, tablas TSV y comparaciones organizadas por corrida.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OE1.9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Comparar el desempeño y los recursos entre herramientas y configuraciones de hardware.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OE1.10</w:t>
            </w:r>
          </w:p>
        </w:tc>
        <w:tc>
          <w:tcPr>
            <w:tcW w:type="dxa" w:w="77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Documentar el flujo y elaborar la memoria final y la presentación de resultados.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5  Enfoque y método a seguir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5.1  Estrategias consideradas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103"/>
        <w:gridCol w:w="1814"/>
      </w:tblGrid>
      <w:tr>
        <w:trPr>
          <w:cantSplit/>
          <w:tblHeader w:val="true"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Estrategia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Aportación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Decisión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Desarrollar un predictor nuevo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Podría aportar un modelo propio, pero ampliaría el alcance hacia entrenamiento, ajuste y validación de un método adicional.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No priorizada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Revisión bibliográfica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Permitirá situar las herramientas y los datos disponibles, pero no sustituye una evaluación experimental propia.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Complementaria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Benchmark empírico reproducible</w:t>
            </w:r>
          </w:p>
        </w:tc>
        <w:tc>
          <w:tcPr>
            <w:tcW w:type="dxa" w:w="51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Permitirá comparar herramientas existentes con datos, métricas, versiones y condiciones de cómputo homogéneas.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Estrategia elegida</w:t>
            </w:r>
          </w:p>
        </w:tc>
      </w:tr>
    </w:tbl>
    <w:p>
      <w:r>
        <w:t xml:space="preserve">Se elige un benchmark empírico reproducible porque responde directamente a la pregunta de qué herramientas son adecuadas para predecir promotores en </w:t>
      </w:r>
      <w:r>
        <w:rPr>
          <w:i/>
        </w:rPr>
        <w:t>S. pneumoniae</w:t>
      </w:r>
      <w:r>
        <w:t xml:space="preserve"> y bajo qué restricciones computacionales. La revisión bibliográfica acompañará el diseño de los datasets y la interpretación de los resultados. El desarrollo de un predictor nuevo queda fuera del alcance del TFM para concentrar el trabajo en una comparación sólida, trazable y evaluable.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5.2  Metodología</w:t>
      </w:r>
    </w:p>
    <w:p>
      <w:pPr>
        <w:pStyle w:val="ListBullet"/>
        <w:spacing w:after="60"/>
      </w:pPr>
      <w:r>
        <w:t>Revisión de herramientas disponibles, publicaciones de referencia y características de sus modelos, entradas y salidas.</w:t>
      </w:r>
    </w:p>
    <w:p>
      <w:pPr>
        <w:pStyle w:val="ListBullet"/>
        <w:spacing w:after="60"/>
      </w:pPr>
      <w:r>
        <w:t>Definición y documentación del dataset canónico a partir de información de TSS de D39V y TIGR4 y controles negativos procedentes de regiones codificantes.</w:t>
      </w:r>
    </w:p>
    <w:p>
      <w:pPr>
        <w:pStyle w:val="ListBullet"/>
        <w:spacing w:after="60"/>
      </w:pPr>
      <w:r>
        <w:t>Estandarización de entradas y configuración de nueve herramientas mediante una interfaz de línea de comandos común.</w:t>
      </w:r>
    </w:p>
    <w:p>
      <w:pPr>
        <w:pStyle w:val="ListBullet"/>
        <w:spacing w:after="60"/>
      </w:pPr>
      <w:r>
        <w:t>Ejecución de corridas por régimen de cómputo y registro estructurado de predicciones, recursos y metadatos de cada corrida.</w:t>
      </w:r>
    </w:p>
    <w:p>
      <w:pPr>
        <w:pStyle w:val="ListBullet"/>
        <w:spacing w:after="60"/>
      </w:pPr>
      <w:r>
        <w:t>Cálculo de ROC-AUC, PR-AUC, sensibilidad, especificidad, precisión, F1, MCC y matrices de confusión, incluyendo análisis por cepa y categoría sigma cuando sea posible.</w:t>
      </w:r>
    </w:p>
    <w:p>
      <w:pPr>
        <w:pStyle w:val="ListBullet"/>
        <w:spacing w:after="60"/>
      </w:pPr>
      <w:r>
        <w:t>Medición de tiempo de pared, RAM, VRAM y tamaño de modelo, junto con análisis de escalabilidad entre regímenes equivalentes.</w:t>
      </w:r>
    </w:p>
    <w:p>
      <w:pPr>
        <w:pStyle w:val="ListBullet"/>
        <w:spacing w:after="60"/>
      </w:pPr>
      <w:r>
        <w:t>Generación de gráficos individuales en PNG y PDF, tablas TSV y comparaciones por hardware, preservando los manifiestos de entrada y configuración.</w:t>
      </w:r>
    </w:p>
    <w:p>
      <w:pPr>
        <w:pStyle w:val="ListBullet"/>
        <w:spacing w:after="60"/>
      </w:pPr>
      <w:r>
        <w:t>Interpretación integrada de desempeño, coste computacional, escalabilidad y aplicabilidad práctica de cada herramienta.</w:t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6  Planificación</w:t>
      </w:r>
    </w:p>
    <w:p>
      <w:r>
        <w:t>La planificación se expresa en semanas de trabajo y deberá alinearse con las fechas de entrega, tutorías e hitos establecidos en el Plan Docente. Las tareas se solapan de forma controlada para documentar el benchmark y redactar la memoria desde las primeras fases del proyecto.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6.1  Tareas y duración estimada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2636"/>
        <w:gridCol w:w="1247"/>
        <w:gridCol w:w="1644"/>
        <w:gridCol w:w="2268"/>
      </w:tblGrid>
      <w:tr>
        <w:trPr>
          <w:cantSplit/>
          <w:tblHeader w:val="true"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Código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Tarea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Objetivos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Duración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Resultado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T1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Delimitar el benchmark y revisar bibliografía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OG1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Semanas 1 a 2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Marco teórico y protocolo inicial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T2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Definir dataset canónico y criterios de trazabilidad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OE1.1, OE1.2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Semanas 2 a 4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Especificación de datos y manifiestos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T3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Integrar herramientas y estandarizar la CLI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OE1.3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Semanas 3 a 6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Flujo de ejecución reproducible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T4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Ejecutar prueba piloto y validar métricas y recursos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OE1.4, OE1.6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Semanas 5 a 7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Protocolo validado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T5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Realizar benchmark por régimen de cómputo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OE1.4, OE1.6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Semanas 7 a 10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Corridas y tablas de recursos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T6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Analizar cepas y categorías sigma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OE1.5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Semanas 9 a 11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Resultados estratificados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T7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Generar comparativas, figuras y tablas finales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OE1.7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Semanas 11 a 13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Resultados consolidados</w:t>
            </w:r>
          </w:p>
        </w:tc>
      </w:tr>
      <w:tr>
        <w:trPr>
          <w:cantSplit/>
        </w:trPr>
        <w:tc>
          <w:tcPr>
            <w:tcW w:type="dxa" w:w="6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T8</w:t>
            </w:r>
          </w:p>
        </w:tc>
        <w:tc>
          <w:tcPr>
            <w:tcW w:type="dxa" w:w="26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Redactar memoria, revisar y preparar presentación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OE1.8, OE1.9</w:t>
            </w:r>
          </w:p>
        </w:tc>
        <w:tc>
          <w:tcPr>
            <w:tcW w:type="dxa" w:w="16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Semanas 1 a 16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Memoria y presentación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6.2  Calendario propuesto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cantSplit/>
          <w:tblHeader w:val="true"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Tarea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S1-2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S3-4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S5-6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S7-8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S9-10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S11-12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S13-14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S15-16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T1 Alcance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T2 Datos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T3 Integración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T4 Piloto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T5 Benchmark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T6 Estratificación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T7 Análisis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T8 Memoria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  <w:tc>
          <w:tcPr>
            <w:tcW w:type="dxa" w:w="7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EAF1F8"/>
          </w:tcPr>
          <w:p>
            <w:pPr>
              <w:spacing w:before="0" w:after="0"/>
              <w:jc w:val="center"/>
            </w:pPr>
            <w:r>
              <w:t>●</w:t>
            </w:r>
          </w:p>
        </w:tc>
      </w:tr>
    </w:tbl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6.3  Hitos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840"/>
        <w:gridCol w:w="2268"/>
      </w:tblGrid>
      <w:tr>
        <w:trPr>
          <w:cantSplit/>
          <w:tblHeader w:val="true"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Hito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Criterio de consecución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  <w:jc w:val="center"/>
            </w:pPr>
            <w:r>
              <w:t>Fecha propuesta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H1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Alcance, pregunta de trabajo y bibliografía inicial validados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Final de la semana 2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H2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Dataset canónico y manifiestos de procedencia documentados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Final de la semana 4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H3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Flujo integrado y prueba piloto completados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Final de la semana 7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H4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Corridas principales y mediciones de recursos finalizadas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Final de la semana 10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H5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Análisis por cepa y categoría sigma, tablas y gráficos cerrados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t>Final de la semana 13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H6</w:t>
            </w:r>
          </w:p>
        </w:tc>
        <w:tc>
          <w:tcPr>
            <w:tcW w:type="dxa" w:w="58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Memoria revisada y presentación preparada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  <w:jc w:val="center"/>
            </w:pPr>
            <w:r>
              <w:t>Final de la semana 16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00000"/>
        </w:rPr>
        <w:t>6.4  Análisis de riesgos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118"/>
        <w:gridCol w:w="3969"/>
      </w:tblGrid>
      <w:tr>
        <w:trPr>
          <w:cantSplit/>
          <w:tblHeader w:val="true"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Riesgo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Impacto potencial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17365D"/>
          </w:tcPr>
          <w:p>
            <w:pPr>
              <w:spacing w:before="0" w:after="0"/>
            </w:pPr>
            <w:r>
              <w:t>Medida preventiva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Disponibilidad y calidad de datos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Las etiquetas de TSS y los controles negativos pueden requerir armonización antes de su uso.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Definir criterios de inclusión, validación y trazabilidad; conservar versiones y manifiestos.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Comparabilidad de herramientas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Las herramientas pueden requerir entradas, dependencias y preprocesamientos distintos.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Estandarizar entradas, documentar versiones y realizar una prueba piloto temprana.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Recursos de cómputo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Las ejecuciones con GPU o datasets grandes pueden requerir más tiempo del previsto.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Priorizar un benchmark base y mantener configuraciones de contingencia en CPU.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Alcance del TFM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La diversidad de herramientas y análisis puede ampliar excesivamente el trabajo.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Mantener nueve herramientas, el dataset canónico y extensiones claramente delimitadas.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Tiempo disponible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La ejecución, el análisis y la redacción pueden competir por el tiempo final.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before="0" w:after="0"/>
            </w:pPr>
            <w:r>
              <w:t>Redactar de forma incremental y usar hitos de revisión quincenales.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Interpretación de resultados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Las métricas pueden variar entre herramientas por sus supuestos y dominios de entrenamiento.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  <w:shd w:fill="F5F8FC"/>
          </w:tcPr>
          <w:p>
            <w:pPr>
              <w:spacing w:before="0" w:after="0"/>
            </w:pPr>
            <w:r>
              <w:t>Separar desempeño, coste computacional y aplicabilidad; evitar recomendaciones fuera del dominio evaluado.</w:t>
            </w:r>
          </w:p>
        </w:tc>
      </w:tr>
    </w:tbl>
    <w:p>
      <w:pPr>
        <w:pStyle w:val="Heading1"/>
        <w:keepNext/>
      </w:pPr>
      <w:r>
        <w:rPr>
          <w:rFonts w:ascii="Aptos" w:hAnsi="Aptos" w:eastAsia="Aptos"/>
          <w:b/>
          <w:i w:val="0"/>
          <w:color w:val="000000"/>
        </w:rPr>
        <w:t>7  Resultados esperados</w:t>
      </w:r>
    </w:p>
    <w:p>
      <w:pPr>
        <w:pStyle w:val="ListBullet"/>
        <w:spacing w:after="60"/>
      </w:pPr>
      <w:r>
        <w:t xml:space="preserve">Un protocolo de benchmark reproducible para herramientas de predicción de promotores bacterianos en </w:t>
      </w:r>
      <w:r>
        <w:rPr>
          <w:i/>
        </w:rPr>
        <w:t>S. pneumoniae</w:t>
      </w:r>
      <w:r>
        <w:t>.</w:t>
      </w:r>
    </w:p>
    <w:p>
      <w:pPr>
        <w:pStyle w:val="ListBullet"/>
        <w:spacing w:after="60"/>
      </w:pPr>
      <w:r>
        <w:t>Un dataset canónico de D39V y TIGR4 con 3.465 secuencias, metadatos y manifiestos de procedencia.</w:t>
      </w:r>
    </w:p>
    <w:p>
      <w:pPr>
        <w:pStyle w:val="ListBullet"/>
        <w:spacing w:after="60"/>
      </w:pPr>
      <w:r>
        <w:t>Un flujo de línea de comandos que ejecute nueve herramientas y organice cada corrida en directorios de inferencia, recursos y tablas.</w:t>
      </w:r>
    </w:p>
    <w:p>
      <w:pPr>
        <w:pStyle w:val="ListBullet"/>
        <w:spacing w:after="60"/>
      </w:pPr>
      <w:r>
        <w:t>Predicciones, curvas ROC y de precisión-recall, matrices de confusión y tablas de métricas por herramienta.</w:t>
      </w:r>
    </w:p>
    <w:p>
      <w:pPr>
        <w:pStyle w:val="ListBullet"/>
        <w:spacing w:after="60"/>
      </w:pPr>
      <w:r>
        <w:t>Resultados estratificados por cepa y categoría sigma cuando la evidencia disponible permita esta separación.</w:t>
      </w:r>
    </w:p>
    <w:p>
      <w:pPr>
        <w:pStyle w:val="ListBullet"/>
        <w:spacing w:after="60"/>
      </w:pPr>
      <w:r>
        <w:t>Mediciones comparables de tiempo, RAM, VRAM, tamaño de modelo y escalabilidad para configuraciones de uno y dieciséis núcleos de CPU y GPU.</w:t>
      </w:r>
    </w:p>
    <w:p>
      <w:pPr>
        <w:pStyle w:val="ListBullet"/>
        <w:spacing w:after="60"/>
      </w:pPr>
      <w:r>
        <w:t>Gráficos comparativos individuales en PNG y PDF, junto con tablas TSV de resultados consolidados.</w:t>
      </w:r>
    </w:p>
    <w:p>
      <w:pPr>
        <w:pStyle w:val="ListBullet"/>
      </w:pPr>
      <w:r>
        <w:t>La memoria final, el código documentado y una presentación virtual de los resultados.</w:t>
      </w:r>
    </w:p>
    <w:p>
      <w:pPr>
        <w:pStyle w:val="Heading1"/>
        <w:keepNext/>
      </w:pPr>
      <w:r>
        <w:t>8  Bibliografía inicial</w:t>
      </w:r>
    </w:p>
    <w:p>
      <w:pPr/>
      <w:r>
        <w:t xml:space="preserve">Barton, T. E., Green, A. E., Mellor, K. C., et al. (2025). Naturally acquired promoter variation influences </w:t>
      </w:r>
      <w:r>
        <w:rPr>
          <w:i/>
        </w:rPr>
        <w:t>Streptococcus pneumoniae</w:t>
      </w:r>
      <w:r>
        <w:t xml:space="preserve"> infection outcomes. Cell Host &amp; Microbe, 33(9), 1473-1483.e6. doi: 10.1016/j.chom.2025.08.005</w:t>
      </w:r>
    </w:p>
    <w:p>
      <w:pPr/>
      <w:r>
        <w:t>Cassiano, M. H. A., y Silva Rocha, R. (2020). Benchmarking bacterial promoter prediction tools: Potentialities and limitations. mSystems, 5(4), e00439-20. doi: 10.1128/mSystems.00439-20</w:t>
      </w:r>
    </w:p>
    <w:p>
      <w:pPr/>
      <w:r>
        <w:t>Centers for Disease Control and Prevention. (2026). Clinical overview of pneumococcal disease.</w:t>
      </w:r>
    </w:p>
    <w:p>
      <w:pPr/>
      <w:r>
        <w:t>Chevez Guardado, R., y Peña Castillo, L. (2022). Critical assessment of computational tools for prokaryotic and eukaryotic promoter prediction. Nucleic Acids Research, 50(5), 2576-2596. doi: 10.1093/nar/gkac133</w:t>
      </w:r>
    </w:p>
    <w:p>
      <w:pPr/>
      <w:r>
        <w:t>Sandve, G. K., Nekrutenko, A., Taylor, J., y Hovig, E. (2013). Ten simple rules for reproducible computational research. PLoS Computational Biology, 9(10), e1003285. doi: 10.1371/journal.pcbi.1003285</w:t>
      </w:r>
    </w:p>
    <w:p>
      <w:pPr/>
      <w:r>
        <w:t xml:space="preserve">Slager, J., Aprianto, R., y Veening, J.-W. (2018). Deep genome annotation of the opportunistic human pathogen </w:t>
      </w:r>
      <w:r>
        <w:rPr>
          <w:i/>
        </w:rPr>
        <w:t>Streptococcus pneumoniae</w:t>
      </w:r>
      <w:r>
        <w:t xml:space="preserve"> D39. Genome Biology, 19, 112. doi: 10.1186/s13059-018-1501-5</w:t>
      </w:r>
    </w:p>
    <w:p>
      <w:pPr/>
      <w:r>
        <w:t xml:space="preserve">Warrier, I., et al. (2018). The transcriptional landscape of </w:t>
      </w:r>
      <w:r>
        <w:rPr>
          <w:i/>
        </w:rPr>
        <w:t>Streptococcus pneumoniae</w:t>
      </w:r>
      <w:r>
        <w:t xml:space="preserve"> TIGR4 reveals a complex operon architecture and abundant riboregulation critical for growth and virulence. PLoS Pathogens, 14(12), e1007461. doi: 10.1371/journal.ppat.1007461</w:t>
      </w:r>
    </w:p>
    <w:p>
      <w:pPr/>
      <w:r>
        <w:t>Weber, L. M., Saelens, W., Cannoodt, R., Soneson, C., et al. (2019). Essential guidelines for computational method benchmarking. Genome Biology, 20, 125. doi: 10.1186/s13059-019-1738-8</w:t>
      </w:r>
    </w:p>
    <w:p>
      <w:pPr/>
      <w:r>
        <w:t xml:space="preserve">Wen, Z., Liu, Y., Qu, F., y Zhang, J.-R. (2016). Allelic variation of the capsule promoter diversifies encapsulation and virulence in </w:t>
      </w:r>
      <w:r>
        <w:rPr>
          <w:i/>
        </w:rPr>
        <w:t>Streptococcus pneumoniae</w:t>
      </w:r>
      <w:r>
        <w:t>. Scientific Reports, 6, 30176. doi: 10.1038/srep30176</w:t>
      </w:r>
    </w:p>
    <w:p>
      <w:pPr>
        <w:spacing w:before="100"/>
      </w:pPr>
      <w:r>
        <w:t>Nota para la versión final: completar los datos personales y alinear las semanas, hitos y entregas con el Plan Docente y la plantilla oficial de la asignatura.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000000"/>
        <w:sz w:val="17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Plan de trabajo del TFM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del TFM</dc:title>
  <dc:subject>Benchmark reproducible de promotores en Streptococcus pneumoniae</dc:subject>
  <dc:creator>[Nombre y apellidos]</dc:creator>
  <cp:keywords/>
  <dc:description>Borrador revisado para la actividad P1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