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center"/>
      </w:pPr>
      <w:r>
        <w:rPr>
          <w:rFonts w:ascii="Aptos" w:hAnsi="Aptos" w:eastAsia="Aptos"/>
          <w:b/>
          <w:i w:val="0"/>
          <w:color w:val="000000"/>
          <w:sz w:val="44"/>
        </w:rPr>
        <w:t>Plan de trabajo del TFM</w:t>
      </w:r>
    </w:p>
    <w:p>
      <w:pPr>
        <w:spacing w:after="340"/>
        <w:jc w:val="center"/>
      </w:pPr>
      <w:r>
        <w:rPr>
          <w:rFonts w:ascii="Aptos" w:hAnsi="Aptos" w:eastAsia="Aptos"/>
          <w:b/>
          <w:i w:val="0"/>
          <w:color w:val="000000"/>
          <w:sz w:val="30"/>
        </w:rPr>
        <w:t>Evaluación reproducible de herramientas para la predicción de promotores bacterianos</w:t>
      </w:r>
    </w:p>
    <w:p>
      <w:pPr>
        <w:jc w:val="center"/>
      </w:pPr>
      <w:r>
        <w:rPr>
          <w:rFonts w:ascii="Aptos" w:hAnsi="Aptos" w:eastAsia="Aptos"/>
          <w:b w:val="0"/>
          <w:i/>
          <w:color w:val="000000"/>
          <w:sz w:val="23"/>
        </w:rPr>
        <w:t>Borrador para la actividad P1</w:t>
      </w:r>
    </w:p>
    <w:p/>
    <w:tbl>
      <w:tblPr>
        <w:tblStyle w:val="TableGrid"/>
        <w:tblW w:type="auto" w:w="0"/>
        <w:jc w:val="center"/>
        <w:tblLayout w:type="fixed"/>
        <w:tblLook w:firstColumn="1" w:firstRow="1" w:lastColumn="0" w:lastRow="0" w:noHBand="0" w:noVBand="1" w:val="04A0"/>
      </w:tblPr>
      <w:tblGrid>
        <w:gridCol w:w="2268"/>
        <w:gridCol w:w="6463"/>
      </w:tblGrid>
      <w:tr>
        <w:trPr>
          <w:cantSplit/>
          <w:tblHeader w:val="true"/>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pPr>
            <w:r>
              <w:rPr>
                <w:rFonts w:ascii="Aptos" w:hAnsi="Aptos" w:eastAsia="Aptos"/>
                <w:b/>
                <w:i w:val="0"/>
                <w:color w:val="FFFFFF"/>
                <w:sz w:val="19"/>
              </w:rPr>
              <w:t>Campo</w:t>
            </w:r>
          </w:p>
        </w:tc>
        <w:tc>
          <w:tcPr>
            <w:tcW w:type="dxa" w:w="646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pPr>
            <w:r>
              <w:rPr>
                <w:rFonts w:ascii="Aptos" w:hAnsi="Aptos" w:eastAsia="Aptos"/>
                <w:b/>
                <w:i w:val="0"/>
                <w:color w:val="FFFFFF"/>
                <w:sz w:val="19"/>
              </w:rPr>
              <w:t>Información</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9"/>
              </w:rPr>
              <w:t>Estudiante</w:t>
            </w:r>
          </w:p>
        </w:tc>
        <w:tc>
          <w:tcPr>
            <w:tcW w:type="dxa" w:w="646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9"/>
              </w:rPr>
              <w:t>[Nombre y apellidos]</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9"/>
              </w:rPr>
              <w:t>Máster</w:t>
            </w:r>
          </w:p>
        </w:tc>
        <w:tc>
          <w:tcPr>
            <w:tcW w:type="dxa" w:w="646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9"/>
              </w:rPr>
              <w:t>Máster Universitario en Bioinformática y Bioestadística</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9"/>
              </w:rPr>
              <w:t>Asignatura</w:t>
            </w:r>
          </w:p>
        </w:tc>
        <w:tc>
          <w:tcPr>
            <w:tcW w:type="dxa" w:w="646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9"/>
              </w:rPr>
              <w:t>Trabajo Final de Máster</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9"/>
              </w:rPr>
              <w:t>Tutor o tutora</w:t>
            </w:r>
          </w:p>
        </w:tc>
        <w:tc>
          <w:tcPr>
            <w:tcW w:type="dxa" w:w="646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9"/>
              </w:rPr>
              <w:t>[Nombre del tutor o tutora]</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9"/>
              </w:rPr>
              <w:t>Curso académico</w:t>
            </w:r>
          </w:p>
        </w:tc>
        <w:tc>
          <w:tcPr>
            <w:tcW w:type="dxa" w:w="646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9"/>
              </w:rPr>
              <w:t>2026–2027</w:t>
            </w:r>
          </w:p>
        </w:tc>
      </w:tr>
      <w:tr>
        <w:trPr>
          <w:cantSplit/>
        </w:trPr>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9"/>
              </w:rPr>
              <w:t>Versión</w:t>
            </w:r>
          </w:p>
        </w:tc>
        <w:tc>
          <w:tcPr>
            <w:tcW w:type="dxa" w:w="646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9"/>
              </w:rPr>
              <w:t>Borrador inicial</w:t>
            </w:r>
          </w:p>
        </w:tc>
      </w:tr>
    </w:tbl>
    <w:p>
      <w:pPr>
        <w:spacing w:after="160"/>
      </w:pPr>
    </w:p>
    <w:p>
      <w:pPr>
        <w:jc w:val="center"/>
      </w:pPr>
      <w:r>
        <w:rPr>
          <w:rFonts w:ascii="Aptos" w:hAnsi="Aptos" w:eastAsia="Aptos"/>
          <w:b w:val="0"/>
          <w:i/>
          <w:color w:val="000000"/>
          <w:sz w:val="20"/>
        </w:rPr>
        <w:t>Este documento presenta la propuesta de alcance, objetivos, enfoque metodológico y planificación del TFM. Las fechas concretas se ajustarán al calendario oficial de la asignatura.</w:t>
      </w:r>
    </w:p>
    <w:p>
      <w:r>
        <w:br w:type="page"/>
      </w:r>
    </w:p>
    <w:p>
      <w:pPr>
        <w:pStyle w:val="Heading1"/>
        <w:keepNext/>
      </w:pPr>
      <w:r>
        <w:rPr>
          <w:rFonts w:ascii="Aptos" w:hAnsi="Aptos" w:eastAsia="Aptos"/>
          <w:b/>
          <w:i w:val="0"/>
          <w:color w:val="000000"/>
        </w:rPr>
        <w:t>0  Título y palabras clave</w:t>
      </w:r>
    </w:p>
    <w:tbl>
      <w:tblPr>
        <w:tblStyle w:val="TableGrid"/>
        <w:tblW w:type="auto" w:w="0"/>
        <w:jc w:val="center"/>
        <w:tblLayout w:type="fixed"/>
        <w:tblLook w:firstColumn="1" w:firstRow="1" w:lastColumn="0" w:lastRow="0" w:noHBand="0" w:noVBand="1" w:val="04A0"/>
      </w:tblPr>
      <w:tblGrid>
        <w:gridCol w:w="1871"/>
        <w:gridCol w:w="6860"/>
      </w:tblGrid>
      <w:tr>
        <w:trPr>
          <w:cantSplit/>
          <w:tblHeader w:val="true"/>
        </w:trP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pPr>
            <w:r>
              <w:rPr>
                <w:rFonts w:ascii="Aptos" w:hAnsi="Aptos" w:eastAsia="Aptos"/>
                <w:b/>
                <w:i w:val="0"/>
                <w:color w:val="FFFFFF"/>
                <w:sz w:val="18"/>
              </w:rPr>
              <w:t>Elemento</w:t>
            </w:r>
          </w:p>
        </w:tc>
        <w:tc>
          <w:tcPr>
            <w:tcW w:type="dxa" w:w="68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pPr>
            <w:r>
              <w:rPr>
                <w:rFonts w:ascii="Aptos" w:hAnsi="Aptos" w:eastAsia="Aptos"/>
                <w:b/>
                <w:i w:val="0"/>
                <w:color w:val="FFFFFF"/>
                <w:sz w:val="18"/>
              </w:rPr>
              <w:t>Propuesta</w:t>
            </w:r>
          </w:p>
        </w:tc>
      </w:tr>
      <w:tr>
        <w:trPr>
          <w:cantSplit/>
        </w:trP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8"/>
              </w:rPr>
              <w:t>Título</w:t>
            </w:r>
          </w:p>
        </w:tc>
        <w:tc>
          <w:tcPr>
            <w:tcW w:type="dxa" w:w="68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8"/>
              </w:rPr>
              <w:t>Evaluación reproducible de herramientas para la predicción de promotores bacterianos mediante benchmarks basados en TSS e IGR</w:t>
            </w:r>
          </w:p>
        </w:tc>
      </w:tr>
      <w:tr>
        <w:trPr>
          <w:cantSplit/>
        </w:trP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8"/>
              </w:rPr>
              <w:t>Palabras clave</w:t>
            </w:r>
          </w:p>
        </w:tc>
        <w:tc>
          <w:tcPr>
            <w:tcW w:type="dxa" w:w="68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8"/>
              </w:rPr>
              <w:t>bacterial promoters; promoter prediction; transcription start sites; intergenic regions; benchmarking; reproducibility; computational resources; machine learning</w:t>
            </w:r>
          </w:p>
        </w:tc>
      </w:tr>
    </w:tbl>
    <w:p>
      <w:pPr>
        <w:pStyle w:val="Heading1"/>
        <w:keepNext/>
      </w:pPr>
      <w:r>
        <w:rPr>
          <w:rFonts w:ascii="Aptos" w:hAnsi="Aptos" w:eastAsia="Aptos"/>
          <w:b/>
          <w:i w:val="0"/>
          <w:color w:val="000000"/>
        </w:rPr>
        <w:t>1  Contexto y justificación del trabajo</w:t>
      </w:r>
    </w:p>
    <w:p>
      <w:r>
        <w:rPr>
          <w:rFonts w:ascii="Aptos" w:hAnsi="Aptos" w:eastAsia="Aptos"/>
          <w:b w:val="0"/>
          <w:i w:val="0"/>
        </w:rPr>
        <w:t>Los promotores bacterianos son regiones reguladoras del ADN que condicionan el inicio de la transcripción. Su identificación contribuye al estudio de la regulación génica, a la anotación funcional de genomas y a la comprensión de mecanismos asociados a la adaptación y la virulencia bacteriana. Aunque las técnicas transcriptómicas han incrementado la disponibilidad de sitios de inicio de transcripción experimentales, la cantidad de genomas bacterianos secuenciados supera ampliamente la capacidad de caracterizar sus promotores de forma experimental.</w:t>
      </w:r>
    </w:p>
    <w:p>
      <w:r>
        <w:rPr>
          <w:rFonts w:ascii="Aptos" w:hAnsi="Aptos" w:eastAsia="Aptos"/>
          <w:b w:val="0"/>
          <w:i w:val="0"/>
        </w:rPr>
        <w:t>Existen herramientas basadas en motivos, reglas, modelos estadísticos, aprendizaje automático y aprendizaje profundo. Estas aproximaciones se han entrenado con especies, tipos de promotor y definiciones de negativos diferentes; por ello, sus resultados no siempre son comparables de manera directa. Los estudios de benchmark resaltan la necesidad de usar conjuntos de referencia bien definidos, métricas homogéneas y condiciones de ejecución documentadas (Cassiano y Silva Rocha, 2020; Weber et al., 2019).</w:t>
      </w:r>
    </w:p>
    <w:p>
      <w:r>
        <w:rPr>
          <w:rFonts w:ascii="Aptos" w:hAnsi="Aptos" w:eastAsia="Aptos"/>
          <w:b w:val="0"/>
          <w:i w:val="0"/>
        </w:rPr>
        <w:t>Este TFM se sitúa en la intersección de la genómica bacteriana, la bioinformática reproducible y la evaluación de software científico. Se centrará en datos de Streptococcus pneumoniae D39V y TIGR4, dos cepas con recursos genómicos y transcriptómicos disponibles. El interés del trabajo no es únicamente determinar qué herramienta obtiene mayor rendimiento predictivo, sino aportar evidencia útil sobre en qué condiciones una herramienta es adecuada considerando su precisión, requisitos de cómputo, reproducibilidad y facilidad de ejecución.</w:t>
      </w:r>
    </w:p>
    <w:p>
      <w:pPr>
        <w:pStyle w:val="Heading1"/>
        <w:keepNext/>
      </w:pPr>
      <w:r>
        <w:rPr>
          <w:rFonts w:ascii="Aptos" w:hAnsi="Aptos" w:eastAsia="Aptos"/>
          <w:b/>
          <w:i w:val="0"/>
          <w:color w:val="000000"/>
        </w:rPr>
        <w:t>2  Descripción general</w:t>
      </w:r>
    </w:p>
    <w:p>
      <w:r>
        <w:rPr>
          <w:rFonts w:ascii="Aptos" w:hAnsi="Aptos" w:eastAsia="Aptos"/>
          <w:b w:val="0"/>
          <w:i w:val="0"/>
        </w:rPr>
        <w:t>El TFM consistirá en diseñar, ejecutar y analizar un benchmark reproducible de herramientas de predicción de promotores bacterianos. El estudio empleará secuencias positivas asociadas a sitios de inicio de transcripción y conjuntos negativos definidos a partir de contextos genómicos controlados. Los datasets se documentarán mediante metadatos y manifiestos que permitan identificar su origen, composición y versión.</w:t>
      </w:r>
    </w:p>
    <w:p>
      <w:r>
        <w:rPr>
          <w:rFonts w:ascii="Aptos" w:hAnsi="Aptos" w:eastAsia="Aptos"/>
          <w:b w:val="0"/>
          <w:i w:val="0"/>
        </w:rPr>
        <w:t>Las herramientas seleccionadas se integrarán en un flujo común de ejecución local. Cada corrida generará tres grupos de resultados: inferencia, recursos y tablas. La inferencia contendrá predicciones y curvas ROC y precision recall; los recursos recogerán tiempo de ejecución, uso de CPU, RAM, VRAM y tamaño de pesos; y las tablas almacenarán métricas, matrices de confusión y resúmenes comparativos. Posteriormente se compararán configuraciones de hardware, en particular regímenes con uno y dieciséis núcleos de CPU con GPU, manteniendo el mismo conjunto de entrada.</w:t>
      </w:r>
    </w:p>
    <w:p>
      <w:r>
        <w:rPr>
          <w:rFonts w:ascii="Aptos" w:hAnsi="Aptos" w:eastAsia="Aptos"/>
          <w:b w:val="0"/>
          <w:i w:val="0"/>
        </w:rPr>
        <w:t>El producto final será un conjunto de datasets versionados, un flujo de ejecución y análisis reutilizable, resultados comparativos en formatos PNG y PDF, y una memoria que interprete los hallazgos desde una perspectiva bioinformática y computacional.</w:t>
      </w:r>
    </w:p>
    <w:p>
      <w:pPr>
        <w:pStyle w:val="Heading1"/>
        <w:keepNext/>
      </w:pPr>
      <w:r>
        <w:rPr>
          <w:rFonts w:ascii="Aptos" w:hAnsi="Aptos" w:eastAsia="Aptos"/>
          <w:b/>
          <w:i w:val="0"/>
          <w:color w:val="000000"/>
        </w:rPr>
        <w:t>3  Impacto en sostenibilidad ético social y diversidad</w:t>
      </w:r>
    </w:p>
    <w:p>
      <w:pPr>
        <w:pStyle w:val="Heading2"/>
        <w:keepNext/>
      </w:pPr>
      <w:r>
        <w:rPr>
          <w:rFonts w:ascii="Aptos" w:hAnsi="Aptos" w:eastAsia="Aptos"/>
          <w:b/>
          <w:i w:val="0"/>
          <w:color w:val="000000"/>
        </w:rPr>
        <w:t>3.1  Sostenibilidad</w:t>
      </w:r>
    </w:p>
    <w:p>
      <w:r>
        <w:rPr>
          <w:rFonts w:ascii="Aptos" w:hAnsi="Aptos" w:eastAsia="Aptos"/>
          <w:b w:val="0"/>
          <w:i w:val="0"/>
        </w:rPr>
        <w:t>El trabajo analizará explícitamente los recursos necesarios para ejecutar cada herramienta. Esta información permitirá identificar alternativas que ofrezcan una relación razonable entre rendimiento y coste computacional, evitando recurrir de forma innecesaria a configuraciones de alta demanda. La reutilización de datasets, entornos documentados y resultados versionados reduce la repetición de cálculos y favorece un uso más eficiente de la infraestructura disponible.</w:t>
      </w:r>
    </w:p>
    <w:p>
      <w:pPr>
        <w:pStyle w:val="Heading2"/>
        <w:keepNext/>
      </w:pPr>
      <w:r>
        <w:rPr>
          <w:rFonts w:ascii="Aptos" w:hAnsi="Aptos" w:eastAsia="Aptos"/>
          <w:b/>
          <w:i w:val="0"/>
          <w:color w:val="000000"/>
        </w:rPr>
        <w:t>3.2  Dimensión ético social</w:t>
      </w:r>
    </w:p>
    <w:p>
      <w:r>
        <w:rPr>
          <w:rFonts w:ascii="Aptos" w:hAnsi="Aptos" w:eastAsia="Aptos"/>
          <w:b w:val="0"/>
          <w:i w:val="0"/>
        </w:rPr>
        <w:t>El estudio se basa en datos genómicos públicos y no contempla intervención clínica, experimentación con personas ni manipulación de muestras biológicas. Se mantendrá una comunicación prudente de los resultados: las herramientas se evaluarán como métodos de apoyo a la investigación y no como sistemas de diagnóstico o de decisión clínica. El código, parámetros, versiones y limitaciones se documentarán para permitir la revisión crítica de los resultados.</w:t>
      </w:r>
    </w:p>
    <w:p>
      <w:pPr>
        <w:pStyle w:val="Heading2"/>
        <w:keepNext/>
      </w:pPr>
      <w:r>
        <w:rPr>
          <w:rFonts w:ascii="Aptos" w:hAnsi="Aptos" w:eastAsia="Aptos"/>
          <w:b/>
          <w:i w:val="0"/>
          <w:color w:val="000000"/>
        </w:rPr>
        <w:t>3.3  Diversidad y acceso</w:t>
      </w:r>
    </w:p>
    <w:p>
      <w:r>
        <w:rPr>
          <w:rFonts w:ascii="Aptos" w:hAnsi="Aptos" w:eastAsia="Aptos"/>
          <w:b w:val="0"/>
          <w:i w:val="0"/>
        </w:rPr>
        <w:t>La comparación incorporará configuraciones de cómputo moderadas y de mayor capacidad para no asumir que todas las personas usuarias tienen acceso a GPU o a servidores especializados. La presentación de resultados separará desempeño predictivo y demanda de recursos, facilitando decisiones informadas en entornos académicos y laboratorios con capacidades computacionales heterogéneas.</w:t>
      </w:r>
    </w:p>
    <w:p>
      <w:pPr>
        <w:pStyle w:val="Heading1"/>
        <w:keepNext/>
      </w:pPr>
      <w:r>
        <w:rPr>
          <w:rFonts w:ascii="Aptos" w:hAnsi="Aptos" w:eastAsia="Aptos"/>
          <w:b/>
          <w:i w:val="0"/>
          <w:color w:val="000000"/>
        </w:rPr>
        <w:t>4  Objetivos</w:t>
      </w:r>
    </w:p>
    <w:p>
      <w:pPr>
        <w:pStyle w:val="Heading2"/>
        <w:keepNext/>
      </w:pPr>
      <w:r>
        <w:rPr>
          <w:rFonts w:ascii="Aptos" w:hAnsi="Aptos" w:eastAsia="Aptos"/>
          <w:b/>
          <w:i w:val="0"/>
          <w:color w:val="000000"/>
        </w:rPr>
        <w:t>4.1  Objetivos generales</w:t>
      </w:r>
    </w:p>
    <w:p>
      <w:pPr>
        <w:pStyle w:val="ListNumber"/>
        <w:spacing w:after="60"/>
      </w:pPr>
      <w:r>
        <w:rPr>
          <w:rFonts w:ascii="Aptos" w:hAnsi="Aptos" w:eastAsia="Aptos"/>
          <w:b w:val="0"/>
          <w:i w:val="0"/>
        </w:rPr>
        <w:t>Diseñar un benchmark reproducible y biológicamente trazable para evaluar herramientas de predicción de promotores bacterianos.</w:t>
      </w:r>
    </w:p>
    <w:p>
      <w:pPr>
        <w:pStyle w:val="ListNumber"/>
        <w:spacing w:after="60"/>
      </w:pPr>
      <w:r>
        <w:rPr>
          <w:rFonts w:ascii="Aptos" w:hAnsi="Aptos" w:eastAsia="Aptos"/>
          <w:b w:val="0"/>
          <w:i w:val="0"/>
        </w:rPr>
        <w:t>Evaluar de forma comparativa la capacidad predictiva, el consumo de recursos y la escalabilidad de las herramientas seleccionadas en datasets de Streptococcus pneumoniae.</w:t>
      </w:r>
    </w:p>
    <w:p>
      <w:pPr>
        <w:pStyle w:val="ListNumber"/>
        <w:spacing w:after="60"/>
      </w:pPr>
      <w:r>
        <w:rPr>
          <w:rFonts w:ascii="Aptos" w:hAnsi="Aptos" w:eastAsia="Aptos"/>
          <w:b w:val="0"/>
          <w:i w:val="0"/>
        </w:rPr>
        <w:t>Desarrollar un flujo de ejecución, análisis y comparación que permita reutilizar el benchmark en futuras corridas y configuraciones de hardware.</w:t>
      </w:r>
    </w:p>
    <w:p>
      <w:pPr>
        <w:pStyle w:val="Heading2"/>
        <w:keepNext/>
      </w:pPr>
      <w:r>
        <w:rPr>
          <w:rFonts w:ascii="Aptos" w:hAnsi="Aptos" w:eastAsia="Aptos"/>
          <w:b/>
          <w:i w:val="0"/>
          <w:color w:val="000000"/>
        </w:rPr>
        <w:t>4.2  Objetivos específicos</w:t>
      </w:r>
    </w:p>
    <w:tbl>
      <w:tblPr>
        <w:tblStyle w:val="TableGrid"/>
        <w:tblW w:type="auto" w:w="0"/>
        <w:jc w:val="center"/>
        <w:tblLayout w:type="fixed"/>
        <w:tblLook w:firstColumn="1" w:firstRow="1" w:lastColumn="0" w:lastRow="0" w:noHBand="0" w:noVBand="1" w:val="04A0"/>
      </w:tblPr>
      <w:tblGrid>
        <w:gridCol w:w="1360"/>
        <w:gridCol w:w="1134"/>
        <w:gridCol w:w="6237"/>
      </w:tblGrid>
      <w:tr>
        <w:trPr>
          <w:cantSplit/>
          <w:tblHeader w:val="true"/>
        </w:trPr>
        <w:tc>
          <w:tcPr>
            <w:tcW w:type="dxa" w:w="13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7"/>
              </w:rPr>
              <w:t>Objetivo general</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7"/>
              </w:rPr>
              <w:t>Código</w:t>
            </w:r>
          </w:p>
        </w:tc>
        <w:tc>
          <w:tcPr>
            <w:tcW w:type="dxa" w:w="62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pPr>
            <w:r>
              <w:rPr>
                <w:rFonts w:ascii="Aptos" w:hAnsi="Aptos" w:eastAsia="Aptos"/>
                <w:b/>
                <w:i w:val="0"/>
                <w:color w:val="FFFFFF"/>
                <w:sz w:val="17"/>
              </w:rPr>
              <w:t>Objetivo específico</w:t>
            </w:r>
          </w:p>
        </w:tc>
      </w:tr>
      <w:tr>
        <w:trPr>
          <w:cantSplit/>
        </w:trPr>
        <w:tc>
          <w:tcPr>
            <w:tcW w:type="dxa" w:w="13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OG1</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OE1.1</w:t>
            </w:r>
          </w:p>
        </w:tc>
        <w:tc>
          <w:tcPr>
            <w:tcW w:type="dxa" w:w="62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7"/>
              </w:rPr>
              <w:t>Definir criterios de inclusión, representación y trazabilidad para secuencias positivas y negativas.</w:t>
            </w:r>
          </w:p>
        </w:tc>
      </w:tr>
      <w:tr>
        <w:trPr>
          <w:cantSplit/>
        </w:trPr>
        <w:tc>
          <w:tcPr>
            <w:tcW w:type="dxa" w:w="13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OG1</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OE1.2</w:t>
            </w:r>
          </w:p>
        </w:tc>
        <w:tc>
          <w:tcPr>
            <w:tcW w:type="dxa" w:w="62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7"/>
              </w:rPr>
              <w:t>Construir y documentar datasets de referencia basados en sitios de inicio de transcripción e intervalos intergénicos.</w:t>
            </w:r>
          </w:p>
        </w:tc>
      </w:tr>
      <w:tr>
        <w:trPr>
          <w:cantSplit/>
        </w:trPr>
        <w:tc>
          <w:tcPr>
            <w:tcW w:type="dxa" w:w="13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OG1</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OE1.3</w:t>
            </w:r>
          </w:p>
        </w:tc>
        <w:tc>
          <w:tcPr>
            <w:tcW w:type="dxa" w:w="62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7"/>
              </w:rPr>
              <w:t>Verificar la integridad de los conjuntos de datos y de sus metadatos antes de su uso experimental.</w:t>
            </w:r>
          </w:p>
        </w:tc>
      </w:tr>
      <w:tr>
        <w:trPr>
          <w:cantSplit/>
        </w:trPr>
        <w:tc>
          <w:tcPr>
            <w:tcW w:type="dxa" w:w="13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OG2</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OE2.1</w:t>
            </w:r>
          </w:p>
        </w:tc>
        <w:tc>
          <w:tcPr>
            <w:tcW w:type="dxa" w:w="62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7"/>
              </w:rPr>
              <w:t>Ejecutar las herramientas seleccionadas bajo condiciones de entrada y parámetros comparables.</w:t>
            </w:r>
          </w:p>
        </w:tc>
      </w:tr>
      <w:tr>
        <w:trPr>
          <w:cantSplit/>
        </w:trPr>
        <w:tc>
          <w:tcPr>
            <w:tcW w:type="dxa" w:w="13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OG2</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OE2.2</w:t>
            </w:r>
          </w:p>
        </w:tc>
        <w:tc>
          <w:tcPr>
            <w:tcW w:type="dxa" w:w="62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7"/>
              </w:rPr>
              <w:t>Calcular métricas de clasificación y generar curvas ROC, precision recall y matrices de confusión.</w:t>
            </w:r>
          </w:p>
        </w:tc>
      </w:tr>
      <w:tr>
        <w:trPr>
          <w:cantSplit/>
        </w:trPr>
        <w:tc>
          <w:tcPr>
            <w:tcW w:type="dxa" w:w="13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OG2</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OE2.3</w:t>
            </w:r>
          </w:p>
        </w:tc>
        <w:tc>
          <w:tcPr>
            <w:tcW w:type="dxa" w:w="62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7"/>
              </w:rPr>
              <w:t>Cuantificar tiempo de ejecución, uso de CPU, RAM, VRAM y tamaño de modelo por herramienta.</w:t>
            </w:r>
          </w:p>
        </w:tc>
      </w:tr>
      <w:tr>
        <w:trPr>
          <w:cantSplit/>
        </w:trPr>
        <w:tc>
          <w:tcPr>
            <w:tcW w:type="dxa" w:w="13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OG2</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OE2.4</w:t>
            </w:r>
          </w:p>
        </w:tc>
        <w:tc>
          <w:tcPr>
            <w:tcW w:type="dxa" w:w="62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7"/>
              </w:rPr>
              <w:t>Comparar el comportamiento de las herramientas en distintos regímenes de CPU y GPU.</w:t>
            </w:r>
          </w:p>
        </w:tc>
      </w:tr>
      <w:tr>
        <w:trPr>
          <w:cantSplit/>
        </w:trPr>
        <w:tc>
          <w:tcPr>
            <w:tcW w:type="dxa" w:w="13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OG3</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OE3.1</w:t>
            </w:r>
          </w:p>
        </w:tc>
        <w:tc>
          <w:tcPr>
            <w:tcW w:type="dxa" w:w="62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7"/>
              </w:rPr>
              <w:t>Automatizar la generación ordenada de resultados, tablas y gráficos por corrida.</w:t>
            </w:r>
          </w:p>
        </w:tc>
      </w:tr>
      <w:tr>
        <w:trPr>
          <w:cantSplit/>
        </w:trPr>
        <w:tc>
          <w:tcPr>
            <w:tcW w:type="dxa" w:w="13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OG3</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OE3.2</w:t>
            </w:r>
          </w:p>
        </w:tc>
        <w:tc>
          <w:tcPr>
            <w:tcW w:type="dxa" w:w="62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7"/>
              </w:rPr>
              <w:t>Implementar comparaciones entre corridas equivalentes mediante una estructura común de directorios y manifiestos.</w:t>
            </w:r>
          </w:p>
        </w:tc>
      </w:tr>
      <w:tr>
        <w:trPr>
          <w:cantSplit/>
        </w:trPr>
        <w:tc>
          <w:tcPr>
            <w:tcW w:type="dxa" w:w="136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OG3</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OE3.3</w:t>
            </w:r>
          </w:p>
        </w:tc>
        <w:tc>
          <w:tcPr>
            <w:tcW w:type="dxa" w:w="62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7"/>
              </w:rPr>
              <w:t>Elaborar una memoria y una presentación que comuniquen de forma reproducible los resultados y sus implicaciones.</w:t>
            </w:r>
          </w:p>
        </w:tc>
      </w:tr>
    </w:tbl>
    <w:p>
      <w:r>
        <w:br w:type="page"/>
      </w:r>
    </w:p>
    <w:p>
      <w:pPr>
        <w:pStyle w:val="Heading1"/>
        <w:keepNext/>
      </w:pPr>
      <w:r>
        <w:rPr>
          <w:rFonts w:ascii="Aptos" w:hAnsi="Aptos" w:eastAsia="Aptos"/>
          <w:b/>
          <w:i w:val="0"/>
          <w:color w:val="000000"/>
        </w:rPr>
        <w:t>5  Enfoque y método a seguir</w:t>
      </w:r>
    </w:p>
    <w:p>
      <w:pPr>
        <w:pStyle w:val="Heading2"/>
        <w:keepNext/>
      </w:pPr>
      <w:r>
        <w:rPr>
          <w:rFonts w:ascii="Aptos" w:hAnsi="Aptos" w:eastAsia="Aptos"/>
          <w:b/>
          <w:i w:val="0"/>
          <w:color w:val="000000"/>
        </w:rPr>
        <w:t>5.1  Estrategias consideradas</w:t>
      </w:r>
    </w:p>
    <w:tbl>
      <w:tblPr>
        <w:tblStyle w:val="TableGrid"/>
        <w:tblW w:type="auto" w:w="0"/>
        <w:jc w:val="center"/>
        <w:tblLayout w:type="fixed"/>
        <w:tblLook w:firstColumn="1" w:firstRow="1" w:lastColumn="0" w:lastRow="0" w:noHBand="0" w:noVBand="1" w:val="04A0"/>
      </w:tblPr>
      <w:tblGrid>
        <w:gridCol w:w="1814"/>
        <w:gridCol w:w="5103"/>
        <w:gridCol w:w="1814"/>
      </w:tblGrid>
      <w:tr>
        <w:trPr>
          <w:cantSplit/>
          <w:tblHeader w:val="true"/>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pPr>
            <w:r>
              <w:rPr>
                <w:rFonts w:ascii="Aptos" w:hAnsi="Aptos" w:eastAsia="Aptos"/>
                <w:b/>
                <w:i w:val="0"/>
                <w:color w:val="FFFFFF"/>
                <w:sz w:val="17"/>
              </w:rPr>
              <w:t>Estrategia</w:t>
            </w:r>
          </w:p>
        </w:tc>
        <w:tc>
          <w:tcPr>
            <w:tcW w:type="dxa" w:w="510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pPr>
            <w:r>
              <w:rPr>
                <w:rFonts w:ascii="Aptos" w:hAnsi="Aptos" w:eastAsia="Aptos"/>
                <w:b/>
                <w:i w:val="0"/>
                <w:color w:val="FFFFFF"/>
                <w:sz w:val="17"/>
              </w:rPr>
              <w:t>Aportación</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7"/>
              </w:rPr>
              <w:t>Decisión</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7"/>
              </w:rPr>
              <w:t>Desarrollar un predictor nuevo</w:t>
            </w:r>
          </w:p>
        </w:tc>
        <w:tc>
          <w:tcPr>
            <w:tcW w:type="dxa" w:w="510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7"/>
              </w:rPr>
              <w:t>Permitirá proponer un modelo propio, pero requeriría ampliar el alcance hacia entrenamiento, ajuste y validación de un método adicional.</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No priorizada</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7"/>
              </w:rPr>
              <w:t>Revisión bibliográfica</w:t>
            </w:r>
          </w:p>
        </w:tc>
        <w:tc>
          <w:tcPr>
            <w:tcW w:type="dxa" w:w="510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7"/>
              </w:rPr>
              <w:t>Permitirá resumir métodos existentes, pero no ofrecería una evaluación experimental propia ni estimaciones de recursos locales.</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Complementaria</w:t>
            </w:r>
          </w:p>
        </w:tc>
      </w:tr>
      <w:tr>
        <w:trPr>
          <w:cantSplit/>
        </w:trPr>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7"/>
              </w:rPr>
              <w:t>Benchmark empírico reproducible</w:t>
            </w:r>
          </w:p>
        </w:tc>
        <w:tc>
          <w:tcPr>
            <w:tcW w:type="dxa" w:w="5103"/>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7"/>
              </w:rPr>
              <w:t>Permitirá comparar herramientas existentes con datos, métricas, versiones y condiciones de cómputo homogéneas.</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Estrategia elegida</w:t>
            </w:r>
          </w:p>
        </w:tc>
      </w:tr>
    </w:tbl>
    <w:p>
      <w:r>
        <w:rPr>
          <w:rFonts w:ascii="Aptos" w:hAnsi="Aptos" w:eastAsia="Aptos"/>
          <w:b w:val="0"/>
          <w:i w:val="0"/>
        </w:rPr>
        <w:t>Se elige un benchmark empírico reproducible porque responde directamente a la pregunta de qué herramientas son útiles en un contexto bacteriano concreto y bajo qué restricciones computacionales. La revisión bibliográfica acompañará el diseño de los datasets y la interpretación, mientras que el desarrollo de un predictor nuevo se mantiene fuera del alcance para concentrar el trabajo en una comparación sólida y evaluable.</w:t>
      </w:r>
    </w:p>
    <w:p>
      <w:pPr>
        <w:pStyle w:val="Heading2"/>
        <w:keepNext/>
      </w:pPr>
      <w:r>
        <w:rPr>
          <w:rFonts w:ascii="Aptos" w:hAnsi="Aptos" w:eastAsia="Aptos"/>
          <w:b/>
          <w:i w:val="0"/>
          <w:color w:val="000000"/>
        </w:rPr>
        <w:t>5.2  Metodología</w:t>
      </w:r>
    </w:p>
    <w:p>
      <w:pPr>
        <w:pStyle w:val="ListBullet"/>
        <w:spacing w:after="60"/>
      </w:pPr>
      <w:r>
        <w:rPr>
          <w:rFonts w:ascii="Aptos" w:hAnsi="Aptos" w:eastAsia="Aptos"/>
          <w:b w:val="0"/>
          <w:i w:val="0"/>
        </w:rPr>
        <w:t>Revisión de herramientas disponibles, publicaciones de referencia y características de sus modelos, entradas y salidas.</w:t>
      </w:r>
    </w:p>
    <w:p>
      <w:pPr>
        <w:pStyle w:val="ListBullet"/>
        <w:spacing w:after="60"/>
      </w:pPr>
      <w:r>
        <w:rPr>
          <w:rFonts w:ascii="Aptos" w:hAnsi="Aptos" w:eastAsia="Aptos"/>
          <w:b w:val="0"/>
          <w:i w:val="0"/>
        </w:rPr>
        <w:t>Diseño y documentación de datasets de evaluación a partir de información de TSS, regiones intergénicas y anotaciones genómicas de D39V y TIGR4.</w:t>
      </w:r>
    </w:p>
    <w:p>
      <w:pPr>
        <w:pStyle w:val="ListBullet"/>
        <w:spacing w:after="60"/>
      </w:pPr>
      <w:r>
        <w:rPr>
          <w:rFonts w:ascii="Aptos" w:hAnsi="Aptos" w:eastAsia="Aptos"/>
          <w:b w:val="0"/>
          <w:i w:val="0"/>
        </w:rPr>
        <w:t>Estandarización de entradas y configuración de runners para las herramientas seleccionadas mediante una interfaz de línea de comandos común.</w:t>
      </w:r>
    </w:p>
    <w:p>
      <w:pPr>
        <w:pStyle w:val="ListBullet"/>
        <w:spacing w:after="60"/>
      </w:pPr>
      <w:r>
        <w:rPr>
          <w:rFonts w:ascii="Aptos" w:hAnsi="Aptos" w:eastAsia="Aptos"/>
          <w:b w:val="0"/>
          <w:i w:val="0"/>
        </w:rPr>
        <w:t>Ejecución de corridas por régimen de cómputo y registro estructurado de predicciones, recursos y metadatos de la corrida.</w:t>
      </w:r>
    </w:p>
    <w:p>
      <w:pPr>
        <w:pStyle w:val="ListBullet"/>
        <w:spacing w:after="60"/>
      </w:pPr>
      <w:r>
        <w:rPr>
          <w:rFonts w:ascii="Aptos" w:hAnsi="Aptos" w:eastAsia="Aptos"/>
          <w:b w:val="0"/>
          <w:i w:val="0"/>
        </w:rPr>
        <w:t>Cálculo de ROC AUC, precision recall AUC, sensibilidad, especificidad, precisión, F1, matrices de confusión y resúmenes por herramienta.</w:t>
      </w:r>
    </w:p>
    <w:p>
      <w:pPr>
        <w:pStyle w:val="ListBullet"/>
        <w:spacing w:after="60"/>
      </w:pPr>
      <w:r>
        <w:rPr>
          <w:rFonts w:ascii="Aptos" w:hAnsi="Aptos" w:eastAsia="Aptos"/>
          <w:b w:val="0"/>
          <w:i w:val="0"/>
        </w:rPr>
        <w:t>Medición de tiempo de pared, uso de CPU, RAM, VRAM y tamaño de pesos, junto con análisis de escalabilidad entre regímenes equivalentes.</w:t>
      </w:r>
    </w:p>
    <w:p>
      <w:pPr>
        <w:pStyle w:val="ListBullet"/>
        <w:spacing w:after="60"/>
      </w:pPr>
      <w:r>
        <w:rPr>
          <w:rFonts w:ascii="Aptos" w:hAnsi="Aptos" w:eastAsia="Aptos"/>
          <w:b w:val="0"/>
          <w:i w:val="0"/>
        </w:rPr>
        <w:t>Generación de gráficos individuales en PNG y PDF, tablas TSV y comparaciones por hardware, preservando manifiestos de entrada y configuración.</w:t>
      </w:r>
    </w:p>
    <w:p>
      <w:pPr>
        <w:pStyle w:val="ListBullet"/>
        <w:spacing w:after="60"/>
      </w:pPr>
      <w:r>
        <w:rPr>
          <w:rFonts w:ascii="Aptos" w:hAnsi="Aptos" w:eastAsia="Aptos"/>
          <w:b w:val="0"/>
          <w:i w:val="0"/>
        </w:rPr>
        <w:t>Interpretación integrada de precisión, coste computacional, escalabilidad y aplicabilidad práctica de cada herramienta.</w:t>
      </w:r>
    </w:p>
    <w:p>
      <w:pPr>
        <w:pStyle w:val="Heading1"/>
        <w:keepNext/>
      </w:pPr>
      <w:r>
        <w:rPr>
          <w:rFonts w:ascii="Aptos" w:hAnsi="Aptos" w:eastAsia="Aptos"/>
          <w:b/>
          <w:i w:val="0"/>
          <w:color w:val="000000"/>
        </w:rPr>
        <w:t>6  Planificación</w:t>
      </w:r>
    </w:p>
    <w:p>
      <w:r>
        <w:rPr>
          <w:rFonts w:ascii="Aptos" w:hAnsi="Aptos" w:eastAsia="Aptos"/>
          <w:b w:val="0"/>
          <w:i w:val="0"/>
        </w:rPr>
        <w:t>La siguiente planificación está expresada en semanas de trabajo y deberá alinearse con las fechas de entrega, tutorías e hitos establecidos en el Plan Docente. Las tareas se solapan de forma controlada para mantener la redacción de la memoria y la documentación desde las primeras fases del proyecto.</w:t>
      </w:r>
    </w:p>
    <w:p>
      <w:pPr>
        <w:pStyle w:val="Heading2"/>
        <w:keepNext/>
      </w:pPr>
      <w:r>
        <w:rPr>
          <w:rFonts w:ascii="Aptos" w:hAnsi="Aptos" w:eastAsia="Aptos"/>
          <w:b/>
          <w:i w:val="0"/>
          <w:color w:val="000000"/>
        </w:rPr>
        <w:t>6.1  Tareas y duración estimada</w:t>
      </w:r>
    </w:p>
    <w:tbl>
      <w:tblPr>
        <w:tblStyle w:val="TableGrid"/>
        <w:tblW w:type="auto" w:w="0"/>
        <w:jc w:val="center"/>
        <w:tblLayout w:type="fixed"/>
        <w:tblLook w:firstColumn="1" w:firstRow="1" w:lastColumn="0" w:lastRow="0" w:noHBand="0" w:noVBand="1" w:val="04A0"/>
      </w:tblPr>
      <w:tblGrid>
        <w:gridCol w:w="652"/>
        <w:gridCol w:w="2636"/>
        <w:gridCol w:w="1247"/>
        <w:gridCol w:w="1644"/>
        <w:gridCol w:w="2268"/>
      </w:tblGrid>
      <w:tr>
        <w:trPr>
          <w:cantSplit/>
          <w:tblHeader w:val="true"/>
        </w:trPr>
        <w:tc>
          <w:tcPr>
            <w:tcW w:type="dxa" w:w="6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6"/>
              </w:rPr>
              <w:t>Código</w:t>
            </w:r>
          </w:p>
        </w:tc>
        <w:tc>
          <w:tcPr>
            <w:tcW w:type="dxa" w:w="26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pPr>
            <w:r>
              <w:rPr>
                <w:rFonts w:ascii="Aptos" w:hAnsi="Aptos" w:eastAsia="Aptos"/>
                <w:b/>
                <w:i w:val="0"/>
                <w:color w:val="FFFFFF"/>
                <w:sz w:val="16"/>
              </w:rPr>
              <w:t>Tarea</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6"/>
              </w:rPr>
              <w:t>Objetivos</w:t>
            </w:r>
          </w:p>
        </w:tc>
        <w:tc>
          <w:tcPr>
            <w:tcW w:type="dxa" w:w="16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6"/>
              </w:rPr>
              <w:t>Duración</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pPr>
            <w:r>
              <w:rPr>
                <w:rFonts w:ascii="Aptos" w:hAnsi="Aptos" w:eastAsia="Aptos"/>
                <w:b/>
                <w:i w:val="0"/>
                <w:color w:val="FFFFFF"/>
                <w:sz w:val="16"/>
              </w:rPr>
              <w:t>Resultado</w:t>
            </w:r>
          </w:p>
        </w:tc>
      </w:tr>
      <w:tr>
        <w:trPr>
          <w:cantSplit/>
        </w:trPr>
        <w:tc>
          <w:tcPr>
            <w:tcW w:type="dxa" w:w="6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6"/>
              </w:rPr>
              <w:t>T1</w:t>
            </w:r>
          </w:p>
        </w:tc>
        <w:tc>
          <w:tcPr>
            <w:tcW w:type="dxa" w:w="26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Delimitar alcance y revisar bibliografía</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6"/>
              </w:rPr>
              <w:t>OG1, OG2</w:t>
            </w:r>
          </w:p>
        </w:tc>
        <w:tc>
          <w:tcPr>
            <w:tcW w:type="dxa" w:w="16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6"/>
              </w:rPr>
              <w:t>Semanas 1 a 2</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Marco teórico y protocolo inicial</w:t>
            </w:r>
          </w:p>
        </w:tc>
      </w:tr>
      <w:tr>
        <w:trPr>
          <w:cantSplit/>
        </w:trPr>
        <w:tc>
          <w:tcPr>
            <w:tcW w:type="dxa" w:w="6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6"/>
              </w:rPr>
              <w:t>T2</w:t>
            </w:r>
          </w:p>
        </w:tc>
        <w:tc>
          <w:tcPr>
            <w:tcW w:type="dxa" w:w="26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Definir datasets y criterios de validación</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6"/>
              </w:rPr>
              <w:t>OG1</w:t>
            </w:r>
          </w:p>
        </w:tc>
        <w:tc>
          <w:tcPr>
            <w:tcW w:type="dxa" w:w="16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6"/>
              </w:rPr>
              <w:t>Semanas 2 a 4</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Especificación de datasets</w:t>
            </w:r>
          </w:p>
        </w:tc>
      </w:tr>
      <w:tr>
        <w:trPr>
          <w:cantSplit/>
        </w:trPr>
        <w:tc>
          <w:tcPr>
            <w:tcW w:type="dxa" w:w="6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6"/>
              </w:rPr>
              <w:t>T3</w:t>
            </w:r>
          </w:p>
        </w:tc>
        <w:tc>
          <w:tcPr>
            <w:tcW w:type="dxa" w:w="26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Construir datasets y manifiestos</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6"/>
              </w:rPr>
              <w:t>OG1</w:t>
            </w:r>
          </w:p>
        </w:tc>
        <w:tc>
          <w:tcPr>
            <w:tcW w:type="dxa" w:w="16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6"/>
              </w:rPr>
              <w:t>Semanas 3 a 6</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Datasets versionados</w:t>
            </w:r>
          </w:p>
        </w:tc>
      </w:tr>
      <w:tr>
        <w:trPr>
          <w:cantSplit/>
        </w:trPr>
        <w:tc>
          <w:tcPr>
            <w:tcW w:type="dxa" w:w="6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6"/>
              </w:rPr>
              <w:t>T4</w:t>
            </w:r>
          </w:p>
        </w:tc>
        <w:tc>
          <w:tcPr>
            <w:tcW w:type="dxa" w:w="26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Integrar herramientas y estandarizar la CLI</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6"/>
              </w:rPr>
              <w:t>OG3</w:t>
            </w:r>
          </w:p>
        </w:tc>
        <w:tc>
          <w:tcPr>
            <w:tcW w:type="dxa" w:w="16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6"/>
              </w:rPr>
              <w:t>Semanas 4 a 7</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Flujo de ejecución reproducible</w:t>
            </w:r>
          </w:p>
        </w:tc>
      </w:tr>
      <w:tr>
        <w:trPr>
          <w:cantSplit/>
        </w:trPr>
        <w:tc>
          <w:tcPr>
            <w:tcW w:type="dxa" w:w="6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6"/>
              </w:rPr>
              <w:t>T5</w:t>
            </w:r>
          </w:p>
        </w:tc>
        <w:tc>
          <w:tcPr>
            <w:tcW w:type="dxa" w:w="26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Ejecutar prueba piloto y ajustar el protocolo</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6"/>
              </w:rPr>
              <w:t>OG1, OG2, OG3</w:t>
            </w:r>
          </w:p>
        </w:tc>
        <w:tc>
          <w:tcPr>
            <w:tcW w:type="dxa" w:w="16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6"/>
              </w:rPr>
              <w:t>Semanas 7 a 8</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Protocolo validado</w:t>
            </w:r>
          </w:p>
        </w:tc>
      </w:tr>
      <w:tr>
        <w:trPr>
          <w:cantSplit/>
        </w:trPr>
        <w:tc>
          <w:tcPr>
            <w:tcW w:type="dxa" w:w="6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6"/>
              </w:rPr>
              <w:t>T6</w:t>
            </w:r>
          </w:p>
        </w:tc>
        <w:tc>
          <w:tcPr>
            <w:tcW w:type="dxa" w:w="26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Realizar benchmarks y capturar recursos</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6"/>
              </w:rPr>
              <w:t>OG2</w:t>
            </w:r>
          </w:p>
        </w:tc>
        <w:tc>
          <w:tcPr>
            <w:tcW w:type="dxa" w:w="16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6"/>
              </w:rPr>
              <w:t>Semanas 8 a 11</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Corridas y tablas por régimen</w:t>
            </w:r>
          </w:p>
        </w:tc>
      </w:tr>
      <w:tr>
        <w:trPr>
          <w:cantSplit/>
        </w:trPr>
        <w:tc>
          <w:tcPr>
            <w:tcW w:type="dxa" w:w="6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6"/>
              </w:rPr>
              <w:t>T7</w:t>
            </w:r>
          </w:p>
        </w:tc>
        <w:tc>
          <w:tcPr>
            <w:tcW w:type="dxa" w:w="26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Analizar resultados y generar comparativas</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6"/>
              </w:rPr>
              <w:t>OG2, OG3</w:t>
            </w:r>
          </w:p>
        </w:tc>
        <w:tc>
          <w:tcPr>
            <w:tcW w:type="dxa" w:w="16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6"/>
              </w:rPr>
              <w:t>Semanas 11 a 13</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Figuras y tablas finales</w:t>
            </w:r>
          </w:p>
        </w:tc>
      </w:tr>
      <w:tr>
        <w:trPr>
          <w:cantSplit/>
        </w:trPr>
        <w:tc>
          <w:tcPr>
            <w:tcW w:type="dxa" w:w="65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6"/>
              </w:rPr>
              <w:t>T8</w:t>
            </w:r>
          </w:p>
        </w:tc>
        <w:tc>
          <w:tcPr>
            <w:tcW w:type="dxa" w:w="2636"/>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Redactar memoria, revisar y preparar presentación</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6"/>
              </w:rPr>
              <w:t>OG3</w:t>
            </w:r>
          </w:p>
        </w:tc>
        <w:tc>
          <w:tcPr>
            <w:tcW w:type="dxa" w:w="164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6"/>
              </w:rPr>
              <w:t>Semanas 1 a 16</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Memoria y presentación</w:t>
            </w:r>
          </w:p>
        </w:tc>
      </w:tr>
    </w:tbl>
    <w:p>
      <w:r>
        <w:br w:type="page"/>
      </w:r>
    </w:p>
    <w:p>
      <w:pPr>
        <w:pStyle w:val="Heading2"/>
        <w:keepNext/>
      </w:pPr>
      <w:r>
        <w:rPr>
          <w:rFonts w:ascii="Aptos" w:hAnsi="Aptos" w:eastAsia="Aptos"/>
          <w:b/>
          <w:i w:val="0"/>
          <w:color w:val="000000"/>
        </w:rPr>
        <w:t>6.2  Calendario propuesto</w:t>
      </w:r>
    </w:p>
    <w:tbl>
      <w:tblPr>
        <w:tblStyle w:val="TableGrid"/>
        <w:tblW w:type="auto" w:w="0"/>
        <w:jc w:val="center"/>
        <w:tblLayout w:type="fixed"/>
        <w:tblLook w:firstColumn="1" w:firstRow="1" w:lastColumn="0" w:lastRow="0" w:noHBand="0" w:noVBand="1" w:val="04A0"/>
      </w:tblPr>
      <w:tblGrid>
        <w:gridCol w:w="2494"/>
        <w:gridCol w:w="782"/>
        <w:gridCol w:w="782"/>
        <w:gridCol w:w="782"/>
        <w:gridCol w:w="782"/>
        <w:gridCol w:w="782"/>
        <w:gridCol w:w="782"/>
        <w:gridCol w:w="782"/>
        <w:gridCol w:w="782"/>
      </w:tblGrid>
      <w:tr>
        <w:trPr>
          <w:cantSplit/>
          <w:tblHeader w:val="true"/>
        </w:trP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pPr>
            <w:r>
              <w:rPr>
                <w:rFonts w:ascii="Aptos" w:hAnsi="Aptos" w:eastAsia="Aptos"/>
                <w:b/>
                <w:i w:val="0"/>
                <w:color w:val="FFFFFF"/>
                <w:sz w:val="15"/>
              </w:rPr>
              <w:t>Tarea</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5"/>
              </w:rPr>
              <w:t>S1–2</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5"/>
              </w:rPr>
              <w:t>S3–4</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5"/>
              </w:rPr>
              <w:t>S5–6</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5"/>
              </w:rPr>
              <w:t>S7–8</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5"/>
              </w:rPr>
              <w:t>S9–10</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5"/>
              </w:rPr>
              <w:t>S11–12</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5"/>
              </w:rPr>
              <w:t>S13–14</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5"/>
              </w:rPr>
              <w:t>S15–16</w:t>
            </w:r>
          </w:p>
        </w:tc>
      </w:tr>
      <w:tr>
        <w:trPr>
          <w:cantSplit/>
        </w:trP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5"/>
              </w:rPr>
              <w:t>T1  Alcance</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r>
      <w:tr>
        <w:trPr>
          <w:cantSplit/>
        </w:trP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5"/>
              </w:rPr>
              <w:t>T2  Datasets</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r>
      <w:tr>
        <w:trPr>
          <w:cantSplit/>
        </w:trP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5"/>
              </w:rPr>
              <w:t>T3  Curación</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r>
      <w:tr>
        <w:trPr>
          <w:cantSplit/>
        </w:trP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5"/>
              </w:rPr>
              <w:t>T4  CLI</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r>
      <w:tr>
        <w:trPr>
          <w:cantSplit/>
        </w:trP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5"/>
              </w:rPr>
              <w:t>T5  Piloto</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r>
      <w:tr>
        <w:trPr>
          <w:cantSplit/>
        </w:trP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5"/>
              </w:rPr>
              <w:t>T6  Benchmark</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5"/>
              </w:rPr>
            </w:r>
          </w:p>
        </w:tc>
      </w:tr>
      <w:tr>
        <w:trPr>
          <w:cantSplit/>
        </w:trP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5"/>
              </w:rPr>
              <w:t>T7  Análisis</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5"/>
              </w:rPr>
            </w:r>
          </w:p>
        </w:tc>
      </w:tr>
      <w:tr>
        <w:trPr>
          <w:cantSplit/>
        </w:trPr>
        <w:tc>
          <w:tcPr>
            <w:tcW w:type="dxa" w:w="2494"/>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5"/>
              </w:rPr>
              <w:t>T8  Memoria</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c>
          <w:tcPr>
            <w:tcW w:type="dxa" w:w="782"/>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EAF1F8"/>
          </w:tcPr>
          <w:p>
            <w:pPr>
              <w:spacing w:before="0" w:after="0"/>
              <w:jc w:val="center"/>
            </w:pPr>
            <w:r>
              <w:rPr>
                <w:rFonts w:ascii="Aptos" w:hAnsi="Aptos" w:eastAsia="Aptos"/>
                <w:b/>
                <w:i w:val="0"/>
                <w:color w:val="000000"/>
                <w:sz w:val="20"/>
              </w:rPr>
              <w:t>●</w:t>
            </w:r>
          </w:p>
        </w:tc>
      </w:tr>
    </w:tbl>
    <w:p>
      <w:pPr>
        <w:pStyle w:val="Heading2"/>
        <w:keepNext/>
      </w:pPr>
      <w:r>
        <w:rPr>
          <w:rFonts w:ascii="Aptos" w:hAnsi="Aptos" w:eastAsia="Aptos"/>
          <w:b/>
          <w:i w:val="0"/>
          <w:color w:val="000000"/>
        </w:rPr>
        <w:t>6.3  Hitos</w:t>
      </w:r>
    </w:p>
    <w:tbl>
      <w:tblPr>
        <w:tblStyle w:val="TableGrid"/>
        <w:tblW w:type="auto" w:w="0"/>
        <w:jc w:val="center"/>
        <w:tblLayout w:type="fixed"/>
        <w:tblLook w:firstColumn="1" w:firstRow="1" w:lastColumn="0" w:lastRow="0" w:noHBand="0" w:noVBand="1" w:val="04A0"/>
      </w:tblPr>
      <w:tblGrid>
        <w:gridCol w:w="737"/>
        <w:gridCol w:w="5840"/>
        <w:gridCol w:w="2268"/>
      </w:tblGrid>
      <w:tr>
        <w:trPr>
          <w:cantSplit/>
          <w:tblHeader w:val="true"/>
        </w:trPr>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7"/>
              </w:rPr>
              <w:t>Hito</w:t>
            </w:r>
          </w:p>
        </w:tc>
        <w:tc>
          <w:tcPr>
            <w:tcW w:type="dxa" w:w="5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pPr>
            <w:r>
              <w:rPr>
                <w:rFonts w:ascii="Aptos" w:hAnsi="Aptos" w:eastAsia="Aptos"/>
                <w:b/>
                <w:i w:val="0"/>
                <w:color w:val="FFFFFF"/>
                <w:sz w:val="17"/>
              </w:rPr>
              <w:t>Criterio de consecución</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jc w:val="center"/>
            </w:pPr>
            <w:r>
              <w:rPr>
                <w:rFonts w:ascii="Aptos" w:hAnsi="Aptos" w:eastAsia="Aptos"/>
                <w:b/>
                <w:i w:val="0"/>
                <w:color w:val="FFFFFF"/>
                <w:sz w:val="17"/>
              </w:rPr>
              <w:t>Fecha propuesta</w:t>
            </w:r>
          </w:p>
        </w:tc>
      </w:tr>
      <w:tr>
        <w:trPr>
          <w:cantSplit/>
        </w:trPr>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H1</w:t>
            </w:r>
          </w:p>
        </w:tc>
        <w:tc>
          <w:tcPr>
            <w:tcW w:type="dxa" w:w="5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7"/>
              </w:rPr>
              <w:t>Alcance, pregunta de trabajo y bibliografía inicial validados</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Final de la semana 2</w:t>
            </w:r>
          </w:p>
        </w:tc>
      </w:tr>
      <w:tr>
        <w:trPr>
          <w:cantSplit/>
        </w:trPr>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H2</w:t>
            </w:r>
          </w:p>
        </w:tc>
        <w:tc>
          <w:tcPr>
            <w:tcW w:type="dxa" w:w="5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7"/>
              </w:rPr>
              <w:t>Datasets y criterios de evaluación documentados</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Final de la semana 6</w:t>
            </w:r>
          </w:p>
        </w:tc>
      </w:tr>
      <w:tr>
        <w:trPr>
          <w:cantSplit/>
        </w:trPr>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H3</w:t>
            </w:r>
          </w:p>
        </w:tc>
        <w:tc>
          <w:tcPr>
            <w:tcW w:type="dxa" w:w="5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7"/>
              </w:rPr>
              <w:t>Flujo integrado y prueba piloto completados</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Final de la semana 8</w:t>
            </w:r>
          </w:p>
        </w:tc>
      </w:tr>
      <w:tr>
        <w:trPr>
          <w:cantSplit/>
        </w:trPr>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H4</w:t>
            </w:r>
          </w:p>
        </w:tc>
        <w:tc>
          <w:tcPr>
            <w:tcW w:type="dxa" w:w="5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7"/>
              </w:rPr>
              <w:t>Corridas principales y mediciones de recursos finalizadas</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Final de la semana 11</w:t>
            </w:r>
          </w:p>
        </w:tc>
      </w:tr>
      <w:tr>
        <w:trPr>
          <w:cantSplit/>
        </w:trPr>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H5</w:t>
            </w:r>
          </w:p>
        </w:tc>
        <w:tc>
          <w:tcPr>
            <w:tcW w:type="dxa" w:w="5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7"/>
              </w:rPr>
              <w:t>Tablas y gráficos comparativos cerrados</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jc w:val="center"/>
            </w:pPr>
            <w:r>
              <w:rPr>
                <w:rFonts w:ascii="Aptos" w:hAnsi="Aptos" w:eastAsia="Aptos"/>
                <w:b w:val="0"/>
                <w:i w:val="0"/>
                <w:color w:val="000000"/>
                <w:sz w:val="17"/>
              </w:rPr>
              <w:t>Final de la semana 13</w:t>
            </w:r>
          </w:p>
        </w:tc>
      </w:tr>
      <w:tr>
        <w:trPr>
          <w:cantSplit/>
        </w:trPr>
        <w:tc>
          <w:tcPr>
            <w:tcW w:type="dxa" w:w="73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H6</w:t>
            </w:r>
          </w:p>
        </w:tc>
        <w:tc>
          <w:tcPr>
            <w:tcW w:type="dxa" w:w="5840"/>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7"/>
              </w:rPr>
              <w:t>Memoria revisada y presentación preparada</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jc w:val="center"/>
            </w:pPr>
            <w:r>
              <w:rPr>
                <w:rFonts w:ascii="Aptos" w:hAnsi="Aptos" w:eastAsia="Aptos"/>
                <w:b w:val="0"/>
                <w:i w:val="0"/>
                <w:color w:val="000000"/>
                <w:sz w:val="17"/>
              </w:rPr>
              <w:t>Final de la semana 16</w:t>
            </w:r>
          </w:p>
        </w:tc>
      </w:tr>
    </w:tbl>
    <w:p>
      <w:r>
        <w:br w:type="page"/>
      </w:r>
    </w:p>
    <w:p>
      <w:pPr>
        <w:pStyle w:val="Heading2"/>
        <w:keepNext/>
      </w:pPr>
      <w:r>
        <w:rPr>
          <w:rFonts w:ascii="Aptos" w:hAnsi="Aptos" w:eastAsia="Aptos"/>
          <w:b/>
          <w:i w:val="0"/>
          <w:color w:val="000000"/>
        </w:rPr>
        <w:t>6.4  Análisis de riesgos</w:t>
      </w:r>
    </w:p>
    <w:tbl>
      <w:tblPr>
        <w:tblStyle w:val="TableGrid"/>
        <w:tblW w:type="auto" w:w="0"/>
        <w:jc w:val="center"/>
        <w:tblLayout w:type="fixed"/>
        <w:tblLook w:firstColumn="1" w:firstRow="1" w:lastColumn="0" w:lastRow="0" w:noHBand="0" w:noVBand="1" w:val="04A0"/>
      </w:tblPr>
      <w:tblGrid>
        <w:gridCol w:w="1757"/>
        <w:gridCol w:w="3118"/>
        <w:gridCol w:w="3969"/>
      </w:tblGrid>
      <w:tr>
        <w:trPr>
          <w:cantSplit/>
          <w:tblHeader w:val="true"/>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pPr>
            <w:r>
              <w:rPr>
                <w:rFonts w:ascii="Aptos" w:hAnsi="Aptos" w:eastAsia="Aptos"/>
                <w:b/>
                <w:i w:val="0"/>
                <w:color w:val="FFFFFF"/>
                <w:sz w:val="16"/>
              </w:rPr>
              <w:t>Riesgo</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pPr>
            <w:r>
              <w:rPr>
                <w:rFonts w:ascii="Aptos" w:hAnsi="Aptos" w:eastAsia="Aptos"/>
                <w:b/>
                <w:i w:val="0"/>
                <w:color w:val="FFFFFF"/>
                <w:sz w:val="16"/>
              </w:rPr>
              <w:t>Impacto potencial</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17365D"/>
          </w:tcPr>
          <w:p>
            <w:pPr>
              <w:spacing w:before="0" w:after="0"/>
            </w:pPr>
            <w:r>
              <w:rPr>
                <w:rFonts w:ascii="Aptos" w:hAnsi="Aptos" w:eastAsia="Aptos"/>
                <w:b/>
                <w:i w:val="0"/>
                <w:color w:val="FFFFFF"/>
                <w:sz w:val="16"/>
              </w:rPr>
              <w:t>Medida preventiva</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Disponibilidad y calidad de datos</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Los datos pueden requerir armonización antes de su uso.</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Definir criterios de inclusión, validación y trazabilidad desde el inicio; conservar versiones y manifiestos.</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Dependencias de software</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Las herramientas pueden requerir versiones específicas de bibliotecas, modelos o recursos externos.</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Aislar entornos, documentar versiones y realizar una prueba piloto temprana.</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Recursos de cómputo</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Las ejecuciones con GPU o datasets grandes pueden requerir más tiempo del previsto.</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Priorizar un benchmark base, programar corridas por lotes y mantener configuraciones de contingencia en CPU.</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Alcance del TFM</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La diversidad de herramientas y métricas puede ampliar excesivamente el trabajo.</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Mantener nueve herramientas y datasets definidos; registrar extensiones como trabajo futuro.</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Tiempo disponible</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La ejecución, análisis y redacción pueden competir por el tiempo final.</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tcPr>
          <w:p>
            <w:pPr>
              <w:spacing w:before="0" w:after="0"/>
            </w:pPr>
            <w:r>
              <w:rPr>
                <w:rFonts w:ascii="Aptos" w:hAnsi="Aptos" w:eastAsia="Aptos"/>
                <w:b w:val="0"/>
                <w:i w:val="0"/>
                <w:color w:val="000000"/>
                <w:sz w:val="16"/>
              </w:rPr>
              <w:t>Redactar de forma incremental y usar hitos de revisión quincenales.</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Interpretación de resultados</w:t>
            </w:r>
          </w:p>
        </w:tc>
        <w:tc>
          <w:tcPr>
            <w:tcW w:type="dxa" w:w="3118"/>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Las métricas pueden no coincidir entre herramientas debido a supuestos y dominios de entrenamiento distintos.</w:t>
            </w:r>
          </w:p>
        </w:tc>
        <w:tc>
          <w:tcPr>
            <w:tcW w:type="dxa" w:w="3969"/>
            <w:tcBorders>
              <w:top w:val="single" w:sz="6" w:color="D9D9D9"/>
              <w:left w:val="single" w:sz="6" w:color="D9D9D9"/>
              <w:bottom w:val="single" w:sz="6" w:color="D9D9D9"/>
              <w:right w:val="single" w:sz="6" w:color="D9D9D9"/>
              <w:insideH w:val="single" w:sz="6" w:color="D9D9D9"/>
              <w:insideV w:val="single" w:sz="6" w:color="D9D9D9"/>
            </w:tcBorders>
            <w:tcMar>
              <w:top w:w="105" w:type="dxa"/>
              <w:start w:w="110" w:type="dxa"/>
              <w:bottom w:w="105" w:type="dxa"/>
              <w:end w:w="110" w:type="dxa"/>
            </w:tcMar>
            <w:vAlign w:val="center"/>
            <w:shd w:fill="F5F8FC"/>
          </w:tcPr>
          <w:p>
            <w:pPr>
              <w:spacing w:before="0" w:after="0"/>
            </w:pPr>
            <w:r>
              <w:rPr>
                <w:rFonts w:ascii="Aptos" w:hAnsi="Aptos" w:eastAsia="Aptos"/>
                <w:b w:val="0"/>
                <w:i w:val="0"/>
                <w:color w:val="000000"/>
                <w:sz w:val="16"/>
              </w:rPr>
              <w:t>Separar resultados predictivos, costes computacionales y aplicabilidad; evitar recomendaciones fuera del dominio evaluado.</w:t>
            </w:r>
          </w:p>
        </w:tc>
      </w:tr>
    </w:tbl>
    <w:p>
      <w:pPr>
        <w:pStyle w:val="Heading1"/>
        <w:keepNext/>
      </w:pPr>
      <w:r>
        <w:rPr>
          <w:rFonts w:ascii="Aptos" w:hAnsi="Aptos" w:eastAsia="Aptos"/>
          <w:b/>
          <w:i w:val="0"/>
          <w:color w:val="000000"/>
        </w:rPr>
        <w:t>7  Resultados esperados</w:t>
      </w:r>
    </w:p>
    <w:p>
      <w:pPr>
        <w:pStyle w:val="ListBullet"/>
        <w:spacing w:after="60"/>
      </w:pPr>
      <w:r>
        <w:rPr>
          <w:rFonts w:ascii="Aptos" w:hAnsi="Aptos" w:eastAsia="Aptos"/>
          <w:b w:val="0"/>
          <w:i w:val="0"/>
        </w:rPr>
        <w:t>Un protocolo de benchmark reproducible para herramientas de predicción de promotores bacterianos.</w:t>
      </w:r>
    </w:p>
    <w:p>
      <w:pPr>
        <w:pStyle w:val="ListBullet"/>
        <w:spacing w:after="60"/>
      </w:pPr>
      <w:r>
        <w:rPr>
          <w:rFonts w:ascii="Aptos" w:hAnsi="Aptos" w:eastAsia="Aptos"/>
          <w:b w:val="0"/>
          <w:i w:val="0"/>
        </w:rPr>
        <w:t>Datasets de evaluación de D39V y TIGR4 con secuencias, metadatos y manifiestos de procedencia.</w:t>
      </w:r>
    </w:p>
    <w:p>
      <w:pPr>
        <w:pStyle w:val="ListBullet"/>
        <w:spacing w:after="60"/>
      </w:pPr>
      <w:r>
        <w:rPr>
          <w:rFonts w:ascii="Aptos" w:hAnsi="Aptos" w:eastAsia="Aptos"/>
          <w:b w:val="0"/>
          <w:i w:val="0"/>
        </w:rPr>
        <w:t>Un flujo de línea de comandos que ejecute las nueve herramientas y organice cada corrida en directorios de inferencia, recursos y tablas.</w:t>
      </w:r>
    </w:p>
    <w:p>
      <w:pPr>
        <w:pStyle w:val="ListBullet"/>
        <w:spacing w:after="60"/>
      </w:pPr>
      <w:r>
        <w:rPr>
          <w:rFonts w:ascii="Aptos" w:hAnsi="Aptos" w:eastAsia="Aptos"/>
          <w:b w:val="0"/>
          <w:i w:val="0"/>
        </w:rPr>
        <w:t>Predicciones, curvas ROC y precision recall, matrices de confusión y tablas de métricas por herramienta.</w:t>
      </w:r>
    </w:p>
    <w:p>
      <w:pPr>
        <w:pStyle w:val="ListBullet"/>
        <w:spacing w:after="60"/>
      </w:pPr>
      <w:r>
        <w:rPr>
          <w:rFonts w:ascii="Aptos" w:hAnsi="Aptos" w:eastAsia="Aptos"/>
          <w:b w:val="0"/>
          <w:i w:val="0"/>
        </w:rPr>
        <w:t>Mediciones comparables de tiempo, CPU, RAM, VRAM, tamaño de modelo y escalabilidad para configuraciones de uno y dieciséis núcleos de CPU con GPU.</w:t>
      </w:r>
    </w:p>
    <w:p>
      <w:pPr>
        <w:pStyle w:val="ListBullet"/>
        <w:spacing w:after="60"/>
      </w:pPr>
      <w:r>
        <w:rPr>
          <w:rFonts w:ascii="Aptos" w:hAnsi="Aptos" w:eastAsia="Aptos"/>
          <w:b w:val="0"/>
          <w:i w:val="0"/>
        </w:rPr>
        <w:t>Gráficos comparativos individuales en PNG y PDF, junto con tablas TSV de resultados consolidados.</w:t>
      </w:r>
    </w:p>
    <w:p>
      <w:pPr>
        <w:pStyle w:val="ListBullet"/>
        <w:spacing w:after="60"/>
      </w:pPr>
      <w:r>
        <w:rPr>
          <w:rFonts w:ascii="Aptos" w:hAnsi="Aptos" w:eastAsia="Aptos"/>
          <w:b w:val="0"/>
          <w:i w:val="0"/>
        </w:rPr>
        <w:t>El plan de trabajo, la memoria final, el código documentado y una presentación virtual de los resultados.</w:t>
      </w:r>
    </w:p>
    <w:p>
      <w:pPr>
        <w:pStyle w:val="Heading1"/>
        <w:keepNext/>
      </w:pPr>
      <w:r>
        <w:rPr>
          <w:rFonts w:ascii="Aptos" w:hAnsi="Aptos" w:eastAsia="Aptos"/>
          <w:b/>
          <w:i w:val="0"/>
          <w:color w:val="000000"/>
        </w:rPr>
        <w:t>8  Bibliografía inicial</w:t>
      </w:r>
    </w:p>
    <w:p>
      <w:pPr>
        <w:spacing w:after="80"/>
        <w:ind w:left="255" w:hanging="255"/>
      </w:pPr>
      <w:r>
        <w:rPr>
          <w:rFonts w:ascii="Aptos" w:hAnsi="Aptos" w:eastAsia="Aptos"/>
          <w:b w:val="0"/>
          <w:i w:val="0"/>
          <w:color w:val="000000"/>
          <w:sz w:val="18"/>
        </w:rPr>
        <w:t>Cassiano, M. H. A., y Silva Rocha, R. (2020). Benchmarking bacterial promoter prediction tools: Potentialities and limitations. mSystems, 5(4), e00439-20. https://doi.org/10.1128/mSystems.00439-20</w:t>
      </w:r>
    </w:p>
    <w:p>
      <w:pPr>
        <w:spacing w:after="80"/>
        <w:ind w:left="255" w:hanging="255"/>
      </w:pPr>
      <w:r>
        <w:rPr>
          <w:rFonts w:ascii="Aptos" w:hAnsi="Aptos" w:eastAsia="Aptos"/>
          <w:b w:val="0"/>
          <w:i w:val="0"/>
          <w:color w:val="000000"/>
          <w:sz w:val="18"/>
        </w:rPr>
        <w:t>Chevez Guardado, R., y Peña Castillo, L. (2021). Critical assessment of computational tools for prokaryotic and eukaryotic promoter prediction. Nucleic Acids Research, 50(5), 2576 2596. https://doi.org/10.1093/nar/gkac133</w:t>
      </w:r>
    </w:p>
    <w:p>
      <w:pPr>
        <w:spacing w:after="80"/>
        <w:ind w:left="255" w:hanging="255"/>
      </w:pPr>
      <w:r>
        <w:rPr>
          <w:rFonts w:ascii="Aptos" w:hAnsi="Aptos" w:eastAsia="Aptos"/>
          <w:b w:val="0"/>
          <w:i w:val="0"/>
          <w:color w:val="000000"/>
          <w:sz w:val="18"/>
        </w:rPr>
        <w:t>Sandve, G. K., Nekrutenko, A., Taylor, J., y Hovig, E. (2013). Ten simple rules for reproducible computational research. PLoS Computational Biology, 9(10), e1003285. https://doi.org/10.1371/journal.pcbi.1003285</w:t>
      </w:r>
    </w:p>
    <w:p>
      <w:pPr>
        <w:spacing w:after="80"/>
        <w:ind w:left="255" w:hanging="255"/>
      </w:pPr>
      <w:r>
        <w:rPr>
          <w:rFonts w:ascii="Aptos" w:hAnsi="Aptos" w:eastAsia="Aptos"/>
          <w:b w:val="0"/>
          <w:i w:val="0"/>
          <w:color w:val="000000"/>
          <w:sz w:val="18"/>
        </w:rPr>
        <w:t>Slager, J., Aprianto, R., y Veening, J. W. (2018). Deep genome annotation of the opportunistic human pathogen Streptococcus pneumoniae D39. Genome Biology, 19, 112. https://doi.org/10.1186/s13059-018-1501-5</w:t>
      </w:r>
    </w:p>
    <w:p>
      <w:pPr>
        <w:spacing w:after="80"/>
        <w:ind w:left="255" w:hanging="255"/>
      </w:pPr>
      <w:r>
        <w:rPr>
          <w:rFonts w:ascii="Aptos" w:hAnsi="Aptos" w:eastAsia="Aptos"/>
          <w:b w:val="0"/>
          <w:i w:val="0"/>
          <w:color w:val="000000"/>
          <w:sz w:val="18"/>
        </w:rPr>
        <w:t>Warrier, I., y colaboradores. (2018). The transcriptional landscape of Streptococcus pneumoniae TIGR4 reveals a complex operon architecture and abundant riboregulation critical for growth and virulence. PLoS Pathogens, 14(12), e1007461. https://doi.org/10.1371/journal.ppat.1007461</w:t>
      </w:r>
    </w:p>
    <w:p>
      <w:pPr>
        <w:spacing w:after="80"/>
        <w:ind w:left="255" w:hanging="255"/>
      </w:pPr>
      <w:r>
        <w:rPr>
          <w:rFonts w:ascii="Aptos" w:hAnsi="Aptos" w:eastAsia="Aptos"/>
          <w:b w:val="0"/>
          <w:i w:val="0"/>
          <w:color w:val="000000"/>
          <w:sz w:val="18"/>
        </w:rPr>
        <w:t>Weber, L. M., Saelens, W., Cannoodt, R., Soneson, C., y colaboradores. (2019). Essential guidelines for computational method benchmarking. Genome Biology, 20, 125. https://doi.org/10.1186/s13059-019-1738-8</w:t>
      </w:r>
    </w:p>
    <w:p>
      <w:pPr>
        <w:spacing w:after="100"/>
      </w:pPr>
    </w:p>
    <w:p>
      <w:pPr>
        <w:spacing w:before="100"/>
      </w:pPr>
      <w:r>
        <w:rPr>
          <w:rFonts w:ascii="Aptos" w:hAnsi="Aptos" w:eastAsia="Aptos"/>
          <w:b w:val="0"/>
          <w:i/>
          <w:color w:val="000000"/>
          <w:sz w:val="18"/>
        </w:rPr>
        <w:t>Nota para la versión final: completar los datos personales y alinear las semanas, hitos y entregas con el Plan Docente y la plantilla oficial de la asignatura.</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000000"/>
        <w:sz w:val="17"/>
      </w:rPr>
      <w:t xml:space="preserve">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i w:val="0"/>
        <w:color w:val="000000"/>
        <w:sz w:val="17"/>
      </w:rPr>
      <w:t>Plan de trabajo del TFM  Borrador P1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olor w:val="000000"/>
      <w:sz w:val="21"/>
    </w:rPr>
  </w:style>
  <w:style w:type="paragraph" w:styleId="ListBullet2">
    <w:name w:val="List Bullet 2"/>
    <w:basedOn w:val="Normal"/>
    <w:uiPriority w:val="99"/>
    <w:unhideWhenUsed/>
    <w:rsid w:val="00326F90"/>
    <w:pPr>
      <w:numPr>
        <w:numId w:val="2"/>
      </w:numPr>
      <w:contextualSpacing/>
    </w:pPr>
    <w:rPr>
      <w:rFonts w:ascii="Aptos" w:hAnsi="Aptos" w:eastAsia="Aptos"/>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 del TFM</dc:title>
  <dc:subject>Borrador P1 sobre benchmarking de herramientas de predicción de promotores bacterianos</dc:subject>
  <dc:creator>[Nombre y apellidos]</dc:creator>
  <cp:keywords/>
  <dc:description>generated by python-docx</dc:description>
  <cp:lastModifiedBy/>
  <cp:revision>1</cp:revision>
  <dcterms:created xsi:type="dcterms:W3CDTF">2013-12-23T23:15:00Z</dcterms:created>
  <dcterms:modified xsi:type="dcterms:W3CDTF">2013-12-23T23:15:00Z</dcterms:modified>
  <cp:category/>
</cp:coreProperties>
</file>