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bookmarkStart w:id="0" w:name="_GoBack"/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⬛  URGENTE:  ☐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EDUCATIVO:⬛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OTRO:☐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Mantenimiento a la infraestructura física educativa de Educación Superior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Paquete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Fugit ullamco distinctio Beatae beatae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Earum laboris officia laborum Dignissimos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