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 Portada institucional</w:t>
      </w:r>
    </w:p>
    <w:p>
      <w:pPr>
        <w:spacing w:after="280"/>
        <w:jc w:val="center"/>
      </w:pPr>
      <w:r>
        <w:rPr>
          <w:b/>
          <w:sz w:val="32"/>
        </w:rPr>
        <w:t>Universidad Tecnológica de Tula-Tepeji</w:t>
      </w:r>
    </w:p>
    <w:p>
      <w:pPr>
        <w:spacing w:after="440"/>
        <w:jc w:val="center"/>
      </w:pPr>
      <w:r>
        <w:rPr>
          <w:b/>
          <w:sz w:val="28"/>
        </w:rPr>
        <w:t>Ingeniería en Desarrollo y Gestión de Software</w:t>
      </w:r>
    </w:p>
    <w:p>
      <w:pPr>
        <w:pStyle w:val="Title"/>
        <w:spacing w:after="400"/>
        <w:jc w:val="center"/>
      </w:pPr>
      <w:r>
        <w:rPr>
          <w:b/>
          <w:sz w:val="40"/>
        </w:rPr>
        <w:t>Actividad de Evaluación – Unidad I. Planeación del Proyecto de Análisis de Datos.</w:t>
      </w:r>
    </w:p>
    <w:p>
      <w:pPr>
        <w:spacing w:after="280"/>
        <w:jc w:val="center"/>
      </w:pPr>
      <w:r>
        <w:rPr>
          <w:b w:val="0"/>
          <w:sz w:val="24"/>
        </w:rPr>
        <w:t>Asignatura: Recursamiento 2026 - Extracción de Conocimiento en Bases de Datos</w:t>
      </w:r>
    </w:p>
    <w:p>
      <w:pPr>
        <w:spacing w:after="360"/>
        <w:jc w:val="center"/>
      </w:pPr>
      <w:r>
        <w:rPr>
          <w:b w:val="0"/>
          <w:sz w:val="24"/>
        </w:rPr>
        <w:t>Unidad I. Introducción al análisis de datos</w:t>
      </w:r>
    </w:p>
    <w:p>
      <w:pPr>
        <w:spacing w:after="400"/>
        <w:jc w:val="center"/>
      </w:pPr>
      <w:r>
        <w:rPr>
          <w:b/>
          <w:sz w:val="26"/>
        </w:rPr>
        <w:t>Nombre del proyecto: Análisis y predicción de calidad del aire</w:t>
      </w:r>
    </w:p>
    <w:p>
      <w:pPr>
        <w:spacing w:after="200"/>
        <w:jc w:val="center"/>
      </w:pPr>
      <w:r>
        <w:rPr>
          <w:b w:val="0"/>
          <w:sz w:val="24"/>
        </w:rPr>
        <w:t>Alumno: José Gamaliel Potenciano Méndez</w:t>
      </w:r>
    </w:p>
    <w:p>
      <w:pPr>
        <w:spacing w:after="200"/>
        <w:jc w:val="center"/>
      </w:pPr>
      <w:r>
        <w:rPr>
          <w:b w:val="0"/>
          <w:sz w:val="24"/>
        </w:rPr>
        <w:t>Matrícula: 23301258</w:t>
      </w:r>
    </w:p>
    <w:p>
      <w:pPr>
        <w:spacing w:after="200"/>
        <w:jc w:val="center"/>
      </w:pPr>
      <w:r>
        <w:rPr>
          <w:b w:val="0"/>
          <w:sz w:val="24"/>
        </w:rPr>
        <w:t>Grupo: 10IDGS - G1</w:t>
      </w:r>
    </w:p>
    <w:p>
      <w:pPr>
        <w:spacing w:after="200"/>
        <w:jc w:val="center"/>
      </w:pPr>
      <w:r>
        <w:rPr>
          <w:b w:val="0"/>
          <w:sz w:val="24"/>
        </w:rPr>
        <w:t>Docente: Ing. Jose Luis Herrera Gallardo</w:t>
      </w:r>
    </w:p>
    <w:p>
      <w:pPr>
        <w:spacing w:after="200"/>
        <w:jc w:val="center"/>
      </w:pPr>
      <w:r>
        <w:rPr>
          <w:b w:val="0"/>
          <w:sz w:val="24"/>
        </w:rPr>
        <w:t>Periodo: Septiembre-Diciembre 2026</w:t>
      </w:r>
    </w:p>
    <w:p>
      <w:pPr>
        <w:spacing w:after="200"/>
        <w:jc w:val="center"/>
      </w:pPr>
      <w:r>
        <w:rPr>
          <w:b w:val="0"/>
          <w:sz w:val="24"/>
        </w:rPr>
        <w:t>Fecha: 1 de octubre de 2026</w:t>
      </w:r>
    </w:p>
    <w:p>
      <w:pPr>
        <w:pStyle w:val="Heading1"/>
        <w:pageBreakBefore/>
      </w:pPr>
      <w:r>
        <w:t>2. Descripción del proyecto</w:t>
      </w:r>
    </w:p>
    <w:p>
      <w:r>
        <w:rPr>
          <w:b w:val="0"/>
        </w:rPr>
      </w:r>
      <w:r>
        <w:rPr>
          <w:b/>
        </w:rPr>
        <w:t>Nombre del proyecto:</w:t>
      </w:r>
      <w:r>
        <w:rPr>
          <w:b w:val="0"/>
        </w:rPr>
        <w:t xml:space="preserve"> Análisis y predicción de calidad del aire.</w:t>
      </w:r>
    </w:p>
    <w:p>
      <w:r>
        <w:rPr>
          <w:b w:val="0"/>
        </w:rPr>
        <w:t>El proyecto estudiará las mediciones de calidad del aire del dataset Air Quality, disponible en UCI Machine Learning Repository. Sus registros relacionan concentraciones de contaminantes con las respuestas de cinco sensores químicos, la fecha, la hora, la temperatura y la humedad de un sitio urbano italiano (Vito, 2008).</w:t>
      </w:r>
    </w:p>
    <w:p>
      <w:r>
        <w:rPr>
          <w:b w:val="0"/>
        </w:rPr>
        <w:t>Se dará continuidad a la Actividad 0 mediante la planeación del análisis de esas relaciones. Se propone utilizar CO(GT) como objetivo principal de predicción y conservar NO2(GT) para describir variaciones temporales y ambientales. El propósito es identificar variables útiles y patrones que ayuden a interpretar las mediciones.</w:t>
      </w:r>
    </w:p>
    <w:p>
      <w:pPr>
        <w:pStyle w:val="Heading1"/>
      </w:pPr>
      <w:r>
        <w:t>3. Planteamiento del problema</w:t>
      </w:r>
    </w:p>
    <w:p>
      <w:r>
        <w:rPr>
          <w:b w:val="0"/>
        </w:rPr>
        <w:t>Las respuestas de los sensores no equivalen directamente a la concentración de un contaminante. Pueden variar por las condiciones ambientales, la sensibilidad a distintos gases y los cambios del sensor con el tiempo. Además, el conjunto contiene valores faltantes identificados con -200 (Vito, 2008).</w:t>
      </w:r>
    </w:p>
    <w:p>
      <w:r>
        <w:rPr>
          <w:b w:val="0"/>
        </w:rPr>
        <w:t>Se necesita determinar qué información de los sensores y del ambiente permite estimar CO(GT) y distinguir niveles de concentración. Aunque la revisión anterior identificó posibles relaciones, todavía es necesario evaluar su utilidad en datos no utilizados para ajustar modelos. Esta información permitirá valorar las posibilidades y limitaciones de una predicción basada en sensores.</w:t>
      </w:r>
    </w:p>
    <w:p>
      <w:pPr>
        <w:pStyle w:val="Heading1"/>
      </w:pPr>
      <w:r>
        <w:t>4. Pregunta principal de análisis</w:t>
      </w:r>
    </w:p>
    <w:p>
      <w:r>
        <w:rPr>
          <w:b w:val="0"/>
        </w:rPr>
        <w:t>¿En qué medida las respuestas de los sensores PT08 y las variables de temperatura y humedad permiten predecir la concentración de CO(GT) y clasificarla en bandas de concentración dentro del dataset Air Quality?</w:t>
      </w:r>
    </w:p>
    <w:p>
      <w:pPr>
        <w:pStyle w:val="Heading1"/>
      </w:pPr>
      <w:r>
        <w:t>5. Objetivo general</w:t>
      </w:r>
    </w:p>
    <w:p>
      <w:r>
        <w:rPr>
          <w:b w:val="0"/>
        </w:rPr>
        <w:t>Analizar las relaciones entre las respuestas de los sensores, las condiciones ambientales y las concentraciones de contaminantes del dataset Air Quality para desarrollar posteriormente la predicción de CO(GT), su clasificación por bandas de concentración y la identificación de patrones, siguiendo la metodología CRISP-DM.</w:t>
      </w:r>
    </w:p>
    <w:p>
      <w:pPr>
        <w:pStyle w:val="Heading1"/>
        <w:pageBreakBefore/>
      </w:pPr>
      <w:r>
        <w:t>6. Objetivos específicos</w:t>
      </w:r>
    </w:p>
    <w:p>
      <w:pPr>
        <w:pStyle w:val="ListNumber"/>
      </w:pPr>
      <w:r>
        <w:rPr>
          <w:b w:val="0"/>
        </w:rPr>
        <w:t>Describir las 15 variables del dataset, su procedencia, sus tipos de información y las limitaciones que afectan su uso.</w:t>
      </w:r>
    </w:p>
    <w:p>
      <w:pPr>
        <w:pStyle w:val="ListNumber"/>
      </w:pPr>
      <w:r>
        <w:rPr>
          <w:b w:val="0"/>
        </w:rPr>
        <w:t>Examinar las relaciones entre CO(GT), las respuestas PT08 y las variables T, RH y AH, así como la variación temporal y ambiental de NO2(GT).</w:t>
      </w:r>
    </w:p>
    <w:p>
      <w:pPr>
        <w:pStyle w:val="ListNumber"/>
      </w:pPr>
      <w:r>
        <w:rPr>
          <w:b w:val="0"/>
        </w:rPr>
        <w:t>Evaluar posteriormente una predicción de CO(GT), comparando valores estimados con valores de referencia mediante medidas de error.</w:t>
      </w:r>
    </w:p>
    <w:p>
      <w:pPr>
        <w:pStyle w:val="ListNumber"/>
      </w:pPr>
      <w:r>
        <w:rPr>
          <w:b w:val="0"/>
        </w:rPr>
        <w:t>Definir y evaluar una clasificación de CO en tres bandas, documentando sus límites y los resultados por clase.</w:t>
      </w:r>
    </w:p>
    <w:p>
      <w:pPr>
        <w:pStyle w:val="ListNumber"/>
      </w:pPr>
      <w:r>
        <w:rPr>
          <w:b w:val="0"/>
        </w:rPr>
        <w:t>Identificar posteriormente patrones ambientales y sensoriales mediante clustering y PCA, describiendo los grupos y la variación representada.</w:t>
      </w:r>
    </w:p>
    <w:p>
      <w:pPr>
        <w:pStyle w:val="Heading1"/>
      </w:pPr>
      <w:r>
        <w:t>7. Alcance y limitaciones</w:t>
      </w:r>
    </w:p>
    <w:p>
      <w:r>
        <w:rPr>
          <w:b w:val="0"/>
        </w:rPr>
      </w:r>
      <w:r>
        <w:rPr>
          <w:b/>
        </w:rPr>
        <w:t>Alcance.</w:t>
      </w:r>
      <w:r>
        <w:rPr>
          <w:b w:val="0"/>
        </w:rPr>
        <w:t xml:space="preserve"> Se trabajará con el dataset asignado Air Quality y sus variables reales. El proyecto integrador contemplará el análisis de relaciones entre contaminantes, sensores y ambiente, la regresión de CO(GT), la clasificación por bandas y la identificación de patrones. Date y Time permitirán estudiar el comportamiento temporal. La estimación propuesta corresponde a la misma hora de las entradas, no a un pronóstico del día siguiente.</w:t>
      </w:r>
    </w:p>
    <w:p>
      <w:r>
        <w:rPr>
          <w:b w:val="0"/>
        </w:rPr>
        <w:t>Esta entrega comprende únicamente la planeación. La preparación de datos, los modelos y su evaluación se realizarán en etapas posteriores. El archivo original permanecerá sin modificaciones.</w:t>
      </w:r>
    </w:p>
    <w:p>
      <w:r>
        <w:rPr>
          <w:b w:val="0"/>
        </w:rPr>
      </w:r>
      <w:r>
        <w:rPr>
          <w:b/>
        </w:rPr>
        <w:t>Limitaciones.</w:t>
      </w:r>
      <w:r>
        <w:rPr>
          <w:b w:val="0"/>
        </w:rPr>
        <w:t xml:space="preserve"> Los datos son históricos y corresponden a un solo sitio; no representan automáticamente otras ciudades ni las condiciones actuales. Los faltantes, la sensibilidad cruzada y la variación temporal de los sensores pueden afectar los resultados. Las relaciones estadísticas no demuestran causalidad. Las bandas de concentración tendrán fines académicos y no serán un índice oficial de calidad del aire ni una evaluación de riesgo sanitario.</w:t>
      </w:r>
    </w:p>
    <w:p>
      <w:pPr>
        <w:pStyle w:val="Heading1"/>
        <w:pageBreakBefore/>
      </w:pPr>
      <w:r>
        <w:t>8. Descripción del dataset</w:t>
      </w:r>
    </w:p>
    <w:p>
      <w:r>
        <w:rPr>
          <w:b w:val="0"/>
        </w:rPr>
      </w:r>
      <w:r>
        <w:rPr>
          <w:b/>
        </w:rPr>
        <w:t>Nombre:</w:t>
      </w:r>
      <w:r>
        <w:rPr>
          <w:b w:val="0"/>
        </w:rPr>
        <w:t xml:space="preserve"> Air Quality. </w:t>
      </w:r>
      <w:r>
        <w:rPr>
          <w:b/>
        </w:rPr>
        <w:t>Procedencia:</w:t>
      </w:r>
      <w:r>
        <w:rPr>
          <w:b w:val="0"/>
        </w:rPr>
        <w:t xml:space="preserve"> UCI Machine Learning Repository (Vito, 2008). </w:t>
      </w:r>
      <w:r>
        <w:rPr>
          <w:b/>
        </w:rPr>
        <w:t>Archivo:</w:t>
      </w:r>
      <w:r>
        <w:rPr>
          <w:b w:val="0"/>
        </w:rPr>
        <w:t xml:space="preserve"> AirQualityUCI.xlsx, conservado en data/raw/air+quality/.</w:t>
      </w:r>
    </w:p>
    <w:p>
      <w:r>
        <w:rPr>
          <w:b w:val="0"/>
        </w:rPr>
      </w:r>
      <w:r>
        <w:rPr>
          <w:b/>
        </w:rPr>
        <w:t>Tamaño:</w:t>
      </w:r>
      <w:r>
        <w:rPr>
          <w:b w:val="0"/>
        </w:rPr>
        <w:t xml:space="preserve"> aproximadamente 9,358 registros y 15 variables, según UCI. Como se documentó en la Actividad 0, el archivo local contiene 9,357 filas pobladas. Su tamaño es de aproximadamente 1.30 MB. La información combina fechas, horas, concentraciones de contaminantes, respuestas de sensores y condiciones ambientales.</w:t>
      </w:r>
    </w:p>
    <w:p>
      <w:r>
        <w:rPr>
          <w:b w:val="0"/>
        </w:rPr>
      </w:r>
      <w:r>
        <w:rPr>
          <w:b/>
        </w:rPr>
        <w:t>Posibles variables objetivo:</w:t>
      </w:r>
      <w:r>
        <w:rPr>
          <w:b w:val="0"/>
        </w:rPr>
        <w:t xml:space="preserve"> CO(GT) para la regresión principal y una categoría derivada de su concentración para clasificación. NO2(GT), identificado también en la Actividad 0, es una alternativa de predicción; en esta planeación se conserva como variable de análisis descriptivo.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872"/>
        <w:gridCol w:w="5904"/>
        <w:gridCol w:w="2016"/>
      </w:tblGrid>
      <w:tr>
        <w:trPr>
          <w:cantSplit/>
          <w:tblHeader/>
        </w:trPr>
        <w:tc>
          <w:tcPr>
            <w:tcW w:type="dxa" w:w="1872"/>
            <w:vAlign w:val="center"/>
            <w:shd w:fill="DCE6F1"/>
          </w:tcPr>
          <w:p>
            <w:pPr>
              <w:spacing w:after="40" w:before="40" w:line="252" w:lineRule="auto"/>
            </w:pPr>
            <w:r>
              <w:rPr>
                <w:b/>
                <w:sz w:val="20"/>
              </w:rPr>
              <w:t>Variable</w:t>
            </w:r>
          </w:p>
        </w:tc>
        <w:tc>
          <w:tcPr>
            <w:tcW w:type="dxa" w:w="5904"/>
            <w:vAlign w:val="center"/>
            <w:shd w:fill="DCE6F1"/>
          </w:tcPr>
          <w:p>
            <w:pPr>
              <w:spacing w:after="40" w:before="40" w:line="252" w:lineRule="auto"/>
            </w:pPr>
            <w:r>
              <w:rPr>
                <w:b/>
                <w:sz w:val="20"/>
              </w:rPr>
              <w:t>Descripción</w:t>
            </w:r>
          </w:p>
        </w:tc>
        <w:tc>
          <w:tcPr>
            <w:tcW w:type="dxa" w:w="2016"/>
            <w:vAlign w:val="center"/>
            <w:shd w:fill="DCE6F1"/>
          </w:tcPr>
          <w:p>
            <w:pPr>
              <w:spacing w:after="40" w:before="40" w:line="252" w:lineRule="auto"/>
            </w:pPr>
            <w:r>
              <w:rPr>
                <w:b/>
                <w:sz w:val="20"/>
              </w:rPr>
              <w:t>Tipo general</w:t>
            </w:r>
          </w:p>
        </w:tc>
      </w:tr>
      <w:tr>
        <w:trPr>
          <w:cantSplit/>
        </w:trPr>
        <w:tc>
          <w:tcPr>
            <w:tcW w:type="dxa" w:w="1872"/>
            <w:vAlign w:val="center"/>
            <w:shd w:fill="FFFFFF"/>
          </w:tcPr>
          <w:p>
            <w:pPr>
              <w:spacing w:after="40" w:before="40" w:line="252" w:lineRule="auto"/>
            </w:pPr>
            <w:r>
              <w:rPr>
                <w:b w:val="0"/>
                <w:sz w:val="20"/>
              </w:rPr>
              <w:t>Date</w:t>
            </w:r>
          </w:p>
        </w:tc>
        <w:tc>
          <w:tcPr>
            <w:tcW w:type="dxa" w:w="5904"/>
            <w:vAlign w:val="center"/>
            <w:shd w:fill="FFFFFF"/>
          </w:tcPr>
          <w:p>
            <w:pPr>
              <w:spacing w:after="40" w:before="40" w:line="252" w:lineRule="auto"/>
            </w:pPr>
            <w:r>
              <w:rPr>
                <w:b w:val="0"/>
                <w:sz w:val="20"/>
              </w:rPr>
              <w:t>Fecha del registro.</w:t>
            </w:r>
          </w:p>
        </w:tc>
        <w:tc>
          <w:tcPr>
            <w:tcW w:type="dxa" w:w="2016"/>
            <w:vAlign w:val="center"/>
            <w:shd w:fill="FFFFFF"/>
          </w:tcPr>
          <w:p>
            <w:pPr>
              <w:spacing w:after="40" w:before="40" w:line="252" w:lineRule="auto"/>
            </w:pPr>
            <w:r>
              <w:rPr>
                <w:b w:val="0"/>
                <w:sz w:val="20"/>
              </w:rPr>
              <w:t>Temporal</w:t>
            </w:r>
          </w:p>
        </w:tc>
      </w:tr>
      <w:tr>
        <w:trPr>
          <w:cantSplit/>
        </w:trPr>
        <w:tc>
          <w:tcPr>
            <w:tcW w:type="dxa" w:w="1872"/>
            <w:vAlign w:val="center"/>
            <w:shd w:fill="F4F6F8"/>
          </w:tcPr>
          <w:p>
            <w:pPr>
              <w:spacing w:after="40" w:before="40" w:line="252" w:lineRule="auto"/>
            </w:pPr>
            <w:r>
              <w:rPr>
                <w:b w:val="0"/>
                <w:sz w:val="20"/>
              </w:rPr>
              <w:t>Time</w:t>
            </w:r>
          </w:p>
        </w:tc>
        <w:tc>
          <w:tcPr>
            <w:tcW w:type="dxa" w:w="5904"/>
            <w:vAlign w:val="center"/>
            <w:shd w:fill="F4F6F8"/>
          </w:tcPr>
          <w:p>
            <w:pPr>
              <w:spacing w:after="40" w:before="40" w:line="252" w:lineRule="auto"/>
            </w:pPr>
            <w:r>
              <w:rPr>
                <w:b w:val="0"/>
                <w:sz w:val="20"/>
              </w:rPr>
              <w:t>Hora del registro.</w:t>
            </w:r>
          </w:p>
        </w:tc>
        <w:tc>
          <w:tcPr>
            <w:tcW w:type="dxa" w:w="2016"/>
            <w:vAlign w:val="center"/>
            <w:shd w:fill="F4F6F8"/>
          </w:tcPr>
          <w:p>
            <w:pPr>
              <w:spacing w:after="40" w:before="40" w:line="252" w:lineRule="auto"/>
            </w:pPr>
            <w:r>
              <w:rPr>
                <w:b w:val="0"/>
                <w:sz w:val="20"/>
              </w:rPr>
              <w:t>Temporal</w:t>
            </w:r>
          </w:p>
        </w:tc>
      </w:tr>
      <w:tr>
        <w:trPr>
          <w:cantSplit/>
        </w:trPr>
        <w:tc>
          <w:tcPr>
            <w:tcW w:type="dxa" w:w="1872"/>
            <w:vAlign w:val="center"/>
            <w:shd w:fill="FFFFFF"/>
          </w:tcPr>
          <w:p>
            <w:pPr>
              <w:spacing w:after="40" w:before="40" w:line="252" w:lineRule="auto"/>
            </w:pPr>
            <w:r>
              <w:rPr>
                <w:b w:val="0"/>
                <w:sz w:val="20"/>
              </w:rPr>
              <w:t>CO(GT)</w:t>
            </w:r>
          </w:p>
        </w:tc>
        <w:tc>
          <w:tcPr>
            <w:tcW w:type="dxa" w:w="5904"/>
            <w:vAlign w:val="center"/>
            <w:shd w:fill="FFFFFF"/>
          </w:tcPr>
          <w:p>
            <w:pPr>
              <w:spacing w:after="40" w:before="40" w:line="252" w:lineRule="auto"/>
            </w:pPr>
            <w:r>
              <w:rPr>
                <w:b w:val="0"/>
                <w:sz w:val="20"/>
              </w:rPr>
              <w:t>CO de referencia; mg/m³.</w:t>
            </w:r>
          </w:p>
        </w:tc>
        <w:tc>
          <w:tcPr>
            <w:tcW w:type="dxa" w:w="2016"/>
            <w:vAlign w:val="center"/>
            <w:shd w:fill="FFFFFF"/>
          </w:tcPr>
          <w:p>
            <w:pPr>
              <w:spacing w:after="40" w:before="40" w:line="252" w:lineRule="auto"/>
            </w:pPr>
            <w:r>
              <w:rPr>
                <w:b w:val="0"/>
                <w:sz w:val="20"/>
              </w:rPr>
              <w:t>Numérico</w:t>
            </w:r>
          </w:p>
        </w:tc>
      </w:tr>
      <w:tr>
        <w:trPr>
          <w:cantSplit/>
        </w:trPr>
        <w:tc>
          <w:tcPr>
            <w:tcW w:type="dxa" w:w="1872"/>
            <w:vAlign w:val="center"/>
            <w:shd w:fill="F4F6F8"/>
          </w:tcPr>
          <w:p>
            <w:pPr>
              <w:spacing w:after="40" w:before="40" w:line="252" w:lineRule="auto"/>
            </w:pPr>
            <w:r>
              <w:rPr>
                <w:b w:val="0"/>
                <w:sz w:val="20"/>
              </w:rPr>
              <w:t>PT08.S1(CO)</w:t>
            </w:r>
          </w:p>
        </w:tc>
        <w:tc>
          <w:tcPr>
            <w:tcW w:type="dxa" w:w="5904"/>
            <w:vAlign w:val="center"/>
            <w:shd w:fill="F4F6F8"/>
          </w:tcPr>
          <w:p>
            <w:pPr>
              <w:spacing w:after="40" w:before="40" w:line="252" w:lineRule="auto"/>
            </w:pPr>
            <w:r>
              <w:rPr>
                <w:b w:val="0"/>
                <w:sz w:val="20"/>
              </w:rPr>
              <w:t>Respuesta del sensor nominal de CO.</w:t>
            </w:r>
          </w:p>
        </w:tc>
        <w:tc>
          <w:tcPr>
            <w:tcW w:type="dxa" w:w="2016"/>
            <w:vAlign w:val="center"/>
            <w:shd w:fill="F4F6F8"/>
          </w:tcPr>
          <w:p>
            <w:pPr>
              <w:spacing w:after="40" w:before="40" w:line="252" w:lineRule="auto"/>
            </w:pPr>
            <w:r>
              <w:rPr>
                <w:b w:val="0"/>
                <w:sz w:val="20"/>
              </w:rPr>
              <w:t>Numérico</w:t>
            </w:r>
          </w:p>
        </w:tc>
      </w:tr>
      <w:tr>
        <w:trPr>
          <w:cantSplit/>
        </w:trPr>
        <w:tc>
          <w:tcPr>
            <w:tcW w:type="dxa" w:w="1872"/>
            <w:vAlign w:val="center"/>
            <w:shd w:fill="FFFFFF"/>
          </w:tcPr>
          <w:p>
            <w:pPr>
              <w:spacing w:after="40" w:before="40" w:line="252" w:lineRule="auto"/>
            </w:pPr>
            <w:r>
              <w:rPr>
                <w:b w:val="0"/>
                <w:sz w:val="20"/>
              </w:rPr>
              <w:t>NMHC(GT)</w:t>
            </w:r>
          </w:p>
        </w:tc>
        <w:tc>
          <w:tcPr>
            <w:tcW w:type="dxa" w:w="5904"/>
            <w:vAlign w:val="center"/>
            <w:shd w:fill="FFFFFF"/>
          </w:tcPr>
          <w:p>
            <w:pPr>
              <w:spacing w:after="40" w:before="40" w:line="252" w:lineRule="auto"/>
            </w:pPr>
            <w:r>
              <w:rPr>
                <w:b w:val="0"/>
                <w:sz w:val="20"/>
              </w:rPr>
              <w:t>Hidrocarburos no metánicos; µg/m³.</w:t>
            </w:r>
          </w:p>
        </w:tc>
        <w:tc>
          <w:tcPr>
            <w:tcW w:type="dxa" w:w="2016"/>
            <w:vAlign w:val="center"/>
            <w:shd w:fill="FFFFFF"/>
          </w:tcPr>
          <w:p>
            <w:pPr>
              <w:spacing w:after="40" w:before="40" w:line="252" w:lineRule="auto"/>
            </w:pPr>
            <w:r>
              <w:rPr>
                <w:b w:val="0"/>
                <w:sz w:val="20"/>
              </w:rPr>
              <w:t>Numérico</w:t>
            </w:r>
          </w:p>
        </w:tc>
      </w:tr>
      <w:tr>
        <w:trPr>
          <w:cantSplit/>
        </w:trPr>
        <w:tc>
          <w:tcPr>
            <w:tcW w:type="dxa" w:w="1872"/>
            <w:vAlign w:val="center"/>
            <w:shd w:fill="F4F6F8"/>
          </w:tcPr>
          <w:p>
            <w:pPr>
              <w:spacing w:after="40" w:before="40" w:line="252" w:lineRule="auto"/>
            </w:pPr>
            <w:r>
              <w:rPr>
                <w:b w:val="0"/>
                <w:sz w:val="20"/>
              </w:rPr>
              <w:t>C6H6(GT)</w:t>
            </w:r>
          </w:p>
        </w:tc>
        <w:tc>
          <w:tcPr>
            <w:tcW w:type="dxa" w:w="5904"/>
            <w:vAlign w:val="center"/>
            <w:shd w:fill="F4F6F8"/>
          </w:tcPr>
          <w:p>
            <w:pPr>
              <w:spacing w:after="40" w:before="40" w:line="252" w:lineRule="auto"/>
            </w:pPr>
            <w:r>
              <w:rPr>
                <w:b w:val="0"/>
                <w:sz w:val="20"/>
              </w:rPr>
              <w:t>Benceno; µg/m³.</w:t>
            </w:r>
          </w:p>
        </w:tc>
        <w:tc>
          <w:tcPr>
            <w:tcW w:type="dxa" w:w="2016"/>
            <w:vAlign w:val="center"/>
            <w:shd w:fill="F4F6F8"/>
          </w:tcPr>
          <w:p>
            <w:pPr>
              <w:spacing w:after="40" w:before="40" w:line="252" w:lineRule="auto"/>
            </w:pPr>
            <w:r>
              <w:rPr>
                <w:b w:val="0"/>
                <w:sz w:val="20"/>
              </w:rPr>
              <w:t>Numérico</w:t>
            </w:r>
          </w:p>
        </w:tc>
      </w:tr>
      <w:tr>
        <w:trPr>
          <w:cantSplit/>
        </w:trPr>
        <w:tc>
          <w:tcPr>
            <w:tcW w:type="dxa" w:w="1872"/>
            <w:vAlign w:val="center"/>
            <w:shd w:fill="FFFFFF"/>
          </w:tcPr>
          <w:p>
            <w:pPr>
              <w:spacing w:after="40" w:before="40" w:line="252" w:lineRule="auto"/>
            </w:pPr>
            <w:r>
              <w:rPr>
                <w:b w:val="0"/>
                <w:sz w:val="20"/>
              </w:rPr>
              <w:t>PT08.S2(NMHC)</w:t>
            </w:r>
          </w:p>
        </w:tc>
        <w:tc>
          <w:tcPr>
            <w:tcW w:type="dxa" w:w="5904"/>
            <w:vAlign w:val="center"/>
            <w:shd w:fill="FFFFFF"/>
          </w:tcPr>
          <w:p>
            <w:pPr>
              <w:spacing w:after="40" w:before="40" w:line="252" w:lineRule="auto"/>
            </w:pPr>
            <w:r>
              <w:rPr>
                <w:b w:val="0"/>
                <w:sz w:val="20"/>
              </w:rPr>
              <w:t>Respuesta nominal a NMHC.</w:t>
            </w:r>
          </w:p>
        </w:tc>
        <w:tc>
          <w:tcPr>
            <w:tcW w:type="dxa" w:w="2016"/>
            <w:vAlign w:val="center"/>
            <w:shd w:fill="FFFFFF"/>
          </w:tcPr>
          <w:p>
            <w:pPr>
              <w:spacing w:after="40" w:before="40" w:line="252" w:lineRule="auto"/>
            </w:pPr>
            <w:r>
              <w:rPr>
                <w:b w:val="0"/>
                <w:sz w:val="20"/>
              </w:rPr>
              <w:t>Numérico</w:t>
            </w:r>
          </w:p>
        </w:tc>
      </w:tr>
      <w:tr>
        <w:trPr>
          <w:cantSplit/>
        </w:trPr>
        <w:tc>
          <w:tcPr>
            <w:tcW w:type="dxa" w:w="1872"/>
            <w:vAlign w:val="center"/>
            <w:shd w:fill="F4F6F8"/>
          </w:tcPr>
          <w:p>
            <w:pPr>
              <w:spacing w:after="40" w:before="40" w:line="252" w:lineRule="auto"/>
            </w:pPr>
            <w:r>
              <w:rPr>
                <w:b w:val="0"/>
                <w:sz w:val="20"/>
              </w:rPr>
              <w:t>NOx(GT)</w:t>
            </w:r>
          </w:p>
        </w:tc>
        <w:tc>
          <w:tcPr>
            <w:tcW w:type="dxa" w:w="5904"/>
            <w:vAlign w:val="center"/>
            <w:shd w:fill="F4F6F8"/>
          </w:tcPr>
          <w:p>
            <w:pPr>
              <w:spacing w:after="40" w:before="40" w:line="252" w:lineRule="auto"/>
            </w:pPr>
            <w:r>
              <w:rPr>
                <w:b w:val="0"/>
                <w:sz w:val="20"/>
              </w:rPr>
              <w:t>Óxidos de nitrógeno; ppb.</w:t>
            </w:r>
          </w:p>
        </w:tc>
        <w:tc>
          <w:tcPr>
            <w:tcW w:type="dxa" w:w="2016"/>
            <w:vAlign w:val="center"/>
            <w:shd w:fill="F4F6F8"/>
          </w:tcPr>
          <w:p>
            <w:pPr>
              <w:spacing w:after="40" w:before="40" w:line="252" w:lineRule="auto"/>
            </w:pPr>
            <w:r>
              <w:rPr>
                <w:b w:val="0"/>
                <w:sz w:val="20"/>
              </w:rPr>
              <w:t>Numérico</w:t>
            </w:r>
          </w:p>
        </w:tc>
      </w:tr>
      <w:tr>
        <w:trPr>
          <w:cantSplit/>
        </w:trPr>
        <w:tc>
          <w:tcPr>
            <w:tcW w:type="dxa" w:w="1872"/>
            <w:vAlign w:val="center"/>
            <w:shd w:fill="FFFFFF"/>
          </w:tcPr>
          <w:p>
            <w:pPr>
              <w:spacing w:after="40" w:before="40" w:line="252" w:lineRule="auto"/>
            </w:pPr>
            <w:r>
              <w:rPr>
                <w:b w:val="0"/>
                <w:sz w:val="20"/>
              </w:rPr>
              <w:t>PT08.S3(NOx)</w:t>
            </w:r>
          </w:p>
        </w:tc>
        <w:tc>
          <w:tcPr>
            <w:tcW w:type="dxa" w:w="5904"/>
            <w:vAlign w:val="center"/>
            <w:shd w:fill="FFFFFF"/>
          </w:tcPr>
          <w:p>
            <w:pPr>
              <w:spacing w:after="40" w:before="40" w:line="252" w:lineRule="auto"/>
            </w:pPr>
            <w:r>
              <w:rPr>
                <w:b w:val="0"/>
                <w:sz w:val="20"/>
              </w:rPr>
              <w:t>Respuesta nominal a NOx.</w:t>
            </w:r>
          </w:p>
        </w:tc>
        <w:tc>
          <w:tcPr>
            <w:tcW w:type="dxa" w:w="2016"/>
            <w:vAlign w:val="center"/>
            <w:shd w:fill="FFFFFF"/>
          </w:tcPr>
          <w:p>
            <w:pPr>
              <w:spacing w:after="40" w:before="40" w:line="252" w:lineRule="auto"/>
            </w:pPr>
            <w:r>
              <w:rPr>
                <w:b w:val="0"/>
                <w:sz w:val="20"/>
              </w:rPr>
              <w:t>Numérico</w:t>
            </w:r>
          </w:p>
        </w:tc>
      </w:tr>
      <w:tr>
        <w:trPr>
          <w:cantSplit/>
        </w:trPr>
        <w:tc>
          <w:tcPr>
            <w:tcW w:type="dxa" w:w="1872"/>
            <w:vAlign w:val="center"/>
            <w:shd w:fill="F4F6F8"/>
          </w:tcPr>
          <w:p>
            <w:pPr>
              <w:spacing w:after="40" w:before="40" w:line="252" w:lineRule="auto"/>
            </w:pPr>
            <w:r>
              <w:rPr>
                <w:b w:val="0"/>
                <w:sz w:val="20"/>
              </w:rPr>
              <w:t>NO2(GT)</w:t>
            </w:r>
          </w:p>
        </w:tc>
        <w:tc>
          <w:tcPr>
            <w:tcW w:type="dxa" w:w="5904"/>
            <w:vAlign w:val="center"/>
            <w:shd w:fill="F4F6F8"/>
          </w:tcPr>
          <w:p>
            <w:pPr>
              <w:spacing w:after="40" w:before="40" w:line="252" w:lineRule="auto"/>
            </w:pPr>
            <w:r>
              <w:rPr>
                <w:b w:val="0"/>
                <w:sz w:val="20"/>
              </w:rPr>
              <w:t>Dióxido de nitrógeno; µg/m³.</w:t>
            </w:r>
          </w:p>
        </w:tc>
        <w:tc>
          <w:tcPr>
            <w:tcW w:type="dxa" w:w="2016"/>
            <w:vAlign w:val="center"/>
            <w:shd w:fill="F4F6F8"/>
          </w:tcPr>
          <w:p>
            <w:pPr>
              <w:spacing w:after="40" w:before="40" w:line="252" w:lineRule="auto"/>
            </w:pPr>
            <w:r>
              <w:rPr>
                <w:b w:val="0"/>
                <w:sz w:val="20"/>
              </w:rPr>
              <w:t>Numérico</w:t>
            </w:r>
          </w:p>
        </w:tc>
      </w:tr>
      <w:tr>
        <w:trPr>
          <w:cantSplit/>
        </w:trPr>
        <w:tc>
          <w:tcPr>
            <w:tcW w:type="dxa" w:w="1872"/>
            <w:vAlign w:val="center"/>
            <w:shd w:fill="FFFFFF"/>
          </w:tcPr>
          <w:p>
            <w:pPr>
              <w:spacing w:after="40" w:before="40" w:line="252" w:lineRule="auto"/>
            </w:pPr>
            <w:r>
              <w:rPr>
                <w:b w:val="0"/>
                <w:sz w:val="20"/>
              </w:rPr>
              <w:t>PT08.S4(NO2)</w:t>
            </w:r>
          </w:p>
        </w:tc>
        <w:tc>
          <w:tcPr>
            <w:tcW w:type="dxa" w:w="5904"/>
            <w:vAlign w:val="center"/>
            <w:shd w:fill="FFFFFF"/>
          </w:tcPr>
          <w:p>
            <w:pPr>
              <w:spacing w:after="40" w:before="40" w:line="252" w:lineRule="auto"/>
            </w:pPr>
            <w:r>
              <w:rPr>
                <w:b w:val="0"/>
                <w:sz w:val="20"/>
              </w:rPr>
              <w:t>Respuesta nominal a NO2.</w:t>
            </w:r>
          </w:p>
        </w:tc>
        <w:tc>
          <w:tcPr>
            <w:tcW w:type="dxa" w:w="2016"/>
            <w:vAlign w:val="center"/>
            <w:shd w:fill="FFFFFF"/>
          </w:tcPr>
          <w:p>
            <w:pPr>
              <w:spacing w:after="40" w:before="40" w:line="252" w:lineRule="auto"/>
            </w:pPr>
            <w:r>
              <w:rPr>
                <w:b w:val="0"/>
                <w:sz w:val="20"/>
              </w:rPr>
              <w:t>Numérico</w:t>
            </w:r>
          </w:p>
        </w:tc>
      </w:tr>
      <w:tr>
        <w:trPr>
          <w:cantSplit/>
        </w:trPr>
        <w:tc>
          <w:tcPr>
            <w:tcW w:type="dxa" w:w="1872"/>
            <w:vAlign w:val="center"/>
            <w:shd w:fill="F4F6F8"/>
          </w:tcPr>
          <w:p>
            <w:pPr>
              <w:spacing w:after="40" w:before="40" w:line="252" w:lineRule="auto"/>
            </w:pPr>
            <w:r>
              <w:rPr>
                <w:b w:val="0"/>
                <w:sz w:val="20"/>
              </w:rPr>
              <w:t>PT08.S5(O3)</w:t>
            </w:r>
          </w:p>
        </w:tc>
        <w:tc>
          <w:tcPr>
            <w:tcW w:type="dxa" w:w="5904"/>
            <w:vAlign w:val="center"/>
            <w:shd w:fill="F4F6F8"/>
          </w:tcPr>
          <w:p>
            <w:pPr>
              <w:spacing w:after="40" w:before="40" w:line="252" w:lineRule="auto"/>
            </w:pPr>
            <w:r>
              <w:rPr>
                <w:b w:val="0"/>
                <w:sz w:val="20"/>
              </w:rPr>
              <w:t>Respuesta nominal a O3.</w:t>
            </w:r>
          </w:p>
        </w:tc>
        <w:tc>
          <w:tcPr>
            <w:tcW w:type="dxa" w:w="2016"/>
            <w:vAlign w:val="center"/>
            <w:shd w:fill="F4F6F8"/>
          </w:tcPr>
          <w:p>
            <w:pPr>
              <w:spacing w:after="40" w:before="40" w:line="252" w:lineRule="auto"/>
            </w:pPr>
            <w:r>
              <w:rPr>
                <w:b w:val="0"/>
                <w:sz w:val="20"/>
              </w:rPr>
              <w:t>Numérico</w:t>
            </w:r>
          </w:p>
        </w:tc>
      </w:tr>
      <w:tr>
        <w:trPr>
          <w:cantSplit/>
        </w:trPr>
        <w:tc>
          <w:tcPr>
            <w:tcW w:type="dxa" w:w="1872"/>
            <w:vAlign w:val="center"/>
            <w:shd w:fill="FFFFFF"/>
          </w:tcPr>
          <w:p>
            <w:pPr>
              <w:spacing w:after="40" w:before="40" w:line="252" w:lineRule="auto"/>
            </w:pPr>
            <w:r>
              <w:rPr>
                <w:b w:val="0"/>
                <w:sz w:val="20"/>
              </w:rPr>
              <w:t>T</w:t>
            </w:r>
          </w:p>
        </w:tc>
        <w:tc>
          <w:tcPr>
            <w:tcW w:type="dxa" w:w="5904"/>
            <w:vAlign w:val="center"/>
            <w:shd w:fill="FFFFFF"/>
          </w:tcPr>
          <w:p>
            <w:pPr>
              <w:spacing w:after="40" w:before="40" w:line="252" w:lineRule="auto"/>
            </w:pPr>
            <w:r>
              <w:rPr>
                <w:b w:val="0"/>
                <w:sz w:val="20"/>
              </w:rPr>
              <w:t>Temperatura; °C.</w:t>
            </w:r>
          </w:p>
        </w:tc>
        <w:tc>
          <w:tcPr>
            <w:tcW w:type="dxa" w:w="2016"/>
            <w:vAlign w:val="center"/>
            <w:shd w:fill="FFFFFF"/>
          </w:tcPr>
          <w:p>
            <w:pPr>
              <w:spacing w:after="40" w:before="40" w:line="252" w:lineRule="auto"/>
            </w:pPr>
            <w:r>
              <w:rPr>
                <w:b w:val="0"/>
                <w:sz w:val="20"/>
              </w:rPr>
              <w:t>Numérico</w:t>
            </w:r>
          </w:p>
        </w:tc>
      </w:tr>
      <w:tr>
        <w:trPr>
          <w:cantSplit/>
        </w:trPr>
        <w:tc>
          <w:tcPr>
            <w:tcW w:type="dxa" w:w="1872"/>
            <w:vAlign w:val="center"/>
            <w:shd w:fill="F4F6F8"/>
          </w:tcPr>
          <w:p>
            <w:pPr>
              <w:spacing w:after="40" w:before="40" w:line="252" w:lineRule="auto"/>
            </w:pPr>
            <w:r>
              <w:rPr>
                <w:b w:val="0"/>
                <w:sz w:val="20"/>
              </w:rPr>
              <w:t>RH</w:t>
            </w:r>
          </w:p>
        </w:tc>
        <w:tc>
          <w:tcPr>
            <w:tcW w:type="dxa" w:w="5904"/>
            <w:vAlign w:val="center"/>
            <w:shd w:fill="F4F6F8"/>
          </w:tcPr>
          <w:p>
            <w:pPr>
              <w:spacing w:after="40" w:before="40" w:line="252" w:lineRule="auto"/>
            </w:pPr>
            <w:r>
              <w:rPr>
                <w:b w:val="0"/>
                <w:sz w:val="20"/>
              </w:rPr>
              <w:t>Humedad relativa; %.</w:t>
            </w:r>
          </w:p>
        </w:tc>
        <w:tc>
          <w:tcPr>
            <w:tcW w:type="dxa" w:w="2016"/>
            <w:vAlign w:val="center"/>
            <w:shd w:fill="F4F6F8"/>
          </w:tcPr>
          <w:p>
            <w:pPr>
              <w:spacing w:after="40" w:before="40" w:line="252" w:lineRule="auto"/>
            </w:pPr>
            <w:r>
              <w:rPr>
                <w:b w:val="0"/>
                <w:sz w:val="20"/>
              </w:rPr>
              <w:t>Numérico</w:t>
            </w:r>
          </w:p>
        </w:tc>
      </w:tr>
      <w:tr>
        <w:trPr>
          <w:cantSplit/>
        </w:trPr>
        <w:tc>
          <w:tcPr>
            <w:tcW w:type="dxa" w:w="1872"/>
            <w:vAlign w:val="center"/>
            <w:shd w:fill="FFFFFF"/>
          </w:tcPr>
          <w:p>
            <w:pPr>
              <w:spacing w:after="40" w:before="40" w:line="252" w:lineRule="auto"/>
            </w:pPr>
            <w:r>
              <w:rPr>
                <w:b w:val="0"/>
                <w:sz w:val="20"/>
              </w:rPr>
              <w:t>AH</w:t>
            </w:r>
          </w:p>
        </w:tc>
        <w:tc>
          <w:tcPr>
            <w:tcW w:type="dxa" w:w="5904"/>
            <w:vAlign w:val="center"/>
            <w:shd w:fill="FFFFFF"/>
          </w:tcPr>
          <w:p>
            <w:pPr>
              <w:spacing w:after="40" w:before="40" w:line="252" w:lineRule="auto"/>
            </w:pPr>
            <w:r>
              <w:rPr>
                <w:b w:val="0"/>
                <w:sz w:val="20"/>
              </w:rPr>
              <w:t>Humedad absoluta.</w:t>
            </w:r>
          </w:p>
        </w:tc>
        <w:tc>
          <w:tcPr>
            <w:tcW w:type="dxa" w:w="2016"/>
            <w:vAlign w:val="center"/>
            <w:shd w:fill="FFFFFF"/>
          </w:tcPr>
          <w:p>
            <w:pPr>
              <w:spacing w:after="40" w:before="40" w:line="252" w:lineRule="auto"/>
            </w:pPr>
            <w:r>
              <w:rPr>
                <w:b w:val="0"/>
                <w:sz w:val="20"/>
              </w:rPr>
              <w:t>Numérico</w:t>
            </w:r>
          </w:p>
        </w:tc>
      </w:tr>
    </w:tbl>
    <w:p>
      <w:pPr>
        <w:spacing w:after="0"/>
      </w:pPr>
    </w:p>
    <w:p>
      <w:r>
        <w:rPr>
          <w:b w:val="0"/>
        </w:rPr>
        <w:t>Las respuestas PT08 son señales instrumentales, no concentraciones. El valor -200 representa datos faltantes y deberá distinguirse de una medición válida en la preparación posterior (Vito, 2008).</w:t>
      </w:r>
    </w:p>
    <w:p>
      <w:pPr>
        <w:pStyle w:val="Heading1"/>
        <w:pageBreakBefore/>
      </w:pPr>
      <w:r>
        <w:t>9. Análisis comparativo</w:t>
      </w:r>
    </w:p>
    <w:p>
      <w:r>
        <w:rPr>
          <w:b w:val="0"/>
        </w:rPr>
        <w:t>La Inteligencia Artificial (IA) es el campo amplio de sistemas que realizan tareas como aprendizaje, razonamiento o decisión. Machine Learning (ML) se centra en aprender a partir de datos; Data Mining busca patrones y conocimiento útil; Big Data aborda necesidades de escala, diversidad y velocidad de los datos. Se relacionan, pero no son equivalentes (National Institute of Standards and Technology, s. f.-a, s. f.-b; IBM, s. f.; Chang &amp; Grady, 2019).</w:t>
      </w:r>
    </w:p>
    <w:p>
      <w:pPr>
        <w:pStyle w:val="Heading2"/>
      </w:pPr>
      <w:r>
        <w:t>Inteligencia Artificial y Machine Learning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656"/>
        <w:gridCol w:w="4068"/>
        <w:gridCol w:w="4068"/>
      </w:tblGrid>
      <w:tr>
        <w:trPr>
          <w:cantSplit/>
          <w:tblHeader/>
        </w:trPr>
        <w:tc>
          <w:tcPr>
            <w:tcW w:type="dxa" w:w="1656"/>
            <w:vAlign w:val="center"/>
            <w:shd w:fill="DCE6F1"/>
          </w:tcPr>
          <w:p>
            <w:pPr>
              <w:spacing w:after="40" w:before="40" w:line="252" w:lineRule="auto"/>
            </w:pPr>
            <w:r>
              <w:rPr>
                <w:b/>
                <w:sz w:val="20"/>
              </w:rPr>
              <w:t>Dimensión</w:t>
            </w:r>
          </w:p>
        </w:tc>
        <w:tc>
          <w:tcPr>
            <w:tcW w:type="dxa" w:w="4068"/>
            <w:vAlign w:val="center"/>
            <w:shd w:fill="DCE6F1"/>
          </w:tcPr>
          <w:p>
            <w:pPr>
              <w:spacing w:after="40" w:before="40" w:line="252" w:lineRule="auto"/>
            </w:pPr>
            <w:r>
              <w:rPr>
                <w:b/>
                <w:sz w:val="20"/>
              </w:rPr>
              <w:t>Inteligencia Artificial</w:t>
            </w:r>
          </w:p>
        </w:tc>
        <w:tc>
          <w:tcPr>
            <w:tcW w:type="dxa" w:w="4068"/>
            <w:vAlign w:val="center"/>
            <w:shd w:fill="DCE6F1"/>
          </w:tcPr>
          <w:p>
            <w:pPr>
              <w:spacing w:after="40" w:before="40" w:line="252" w:lineRule="auto"/>
            </w:pPr>
            <w:r>
              <w:rPr>
                <w:b/>
                <w:sz w:val="20"/>
              </w:rPr>
              <w:t>Machine Learning</w:t>
            </w:r>
          </w:p>
        </w:tc>
      </w:tr>
      <w:tr>
        <w:trPr>
          <w:cantSplit/>
        </w:trPr>
        <w:tc>
          <w:tcPr>
            <w:tcW w:type="dxa" w:w="1656"/>
            <w:vAlign w:val="center"/>
            <w:shd w:fill="FFFFFF"/>
          </w:tcPr>
          <w:p>
            <w:pPr>
              <w:spacing w:after="40" w:before="40" w:line="252" w:lineRule="auto"/>
            </w:pPr>
            <w:r>
              <w:rPr>
                <w:b w:val="0"/>
                <w:sz w:val="20"/>
              </w:rPr>
              <w:t>Características</w:t>
            </w:r>
          </w:p>
        </w:tc>
        <w:tc>
          <w:tcPr>
            <w:tcW w:type="dxa" w:w="4068"/>
            <w:vAlign w:val="center"/>
            <w:shd w:fill="FFFFFF"/>
          </w:tcPr>
          <w:p>
            <w:pPr>
              <w:spacing w:after="40" w:before="40" w:line="252" w:lineRule="auto"/>
            </w:pPr>
            <w:r>
              <w:rPr>
                <w:b w:val="0"/>
                <w:sz w:val="20"/>
              </w:rPr>
              <w:t>Sistemas orientados a tareas de razonamiento, percepción, aprendizaje o decisión. Incluye reglas y técnicas aprendidas.</w:t>
            </w:r>
          </w:p>
        </w:tc>
        <w:tc>
          <w:tcPr>
            <w:tcW w:type="dxa" w:w="4068"/>
            <w:vAlign w:val="center"/>
            <w:shd w:fill="FFFFFF"/>
          </w:tcPr>
          <w:p>
            <w:pPr>
              <w:spacing w:after="40" w:before="40" w:line="252" w:lineRule="auto"/>
            </w:pPr>
            <w:r>
              <w:rPr>
                <w:b w:val="0"/>
                <w:sz w:val="20"/>
              </w:rPr>
              <w:t>Ajusta modelos con ejemplos; distingue aprendizaje supervisado y no supervisado. Requiere evaluación con datos no usados para ajustar.</w:t>
            </w:r>
          </w:p>
        </w:tc>
      </w:tr>
      <w:tr>
        <w:trPr>
          <w:cantSplit/>
        </w:trPr>
        <w:tc>
          <w:tcPr>
            <w:tcW w:type="dxa" w:w="1656"/>
            <w:vAlign w:val="center"/>
            <w:shd w:fill="F4F6F8"/>
          </w:tcPr>
          <w:p>
            <w:pPr>
              <w:spacing w:after="40" w:before="40" w:line="252" w:lineRule="auto"/>
            </w:pPr>
            <w:r>
              <w:rPr>
                <w:b w:val="0"/>
                <w:sz w:val="20"/>
              </w:rPr>
              <w:t>Beneficios</w:t>
            </w:r>
          </w:p>
        </w:tc>
        <w:tc>
          <w:tcPr>
            <w:tcW w:type="dxa" w:w="4068"/>
            <w:vAlign w:val="center"/>
            <w:shd w:fill="F4F6F8"/>
          </w:tcPr>
          <w:p>
            <w:pPr>
              <w:spacing w:after="40" w:before="40" w:line="252" w:lineRule="auto"/>
            </w:pPr>
            <w:r>
              <w:rPr>
                <w:b w:val="0"/>
                <w:sz w:val="20"/>
              </w:rPr>
              <w:t>Apoya decisiones y automatiza tareas complejas o repetitivas. Puede combinar conocimiento explícito y predicciones.</w:t>
            </w:r>
          </w:p>
        </w:tc>
        <w:tc>
          <w:tcPr>
            <w:tcW w:type="dxa" w:w="4068"/>
            <w:vAlign w:val="center"/>
            <w:shd w:fill="F4F6F8"/>
          </w:tcPr>
          <w:p>
            <w:pPr>
              <w:spacing w:after="40" w:before="40" w:line="252" w:lineRule="auto"/>
            </w:pPr>
            <w:r>
              <w:rPr>
                <w:b w:val="0"/>
                <w:sz w:val="20"/>
              </w:rPr>
              <w:t>Permite estimar valores, asignar clases y descubrir estructura sin programar cada relación manualmente.</w:t>
            </w:r>
          </w:p>
        </w:tc>
      </w:tr>
      <w:tr>
        <w:trPr>
          <w:cantSplit/>
        </w:trPr>
        <w:tc>
          <w:tcPr>
            <w:tcW w:type="dxa" w:w="1656"/>
            <w:vAlign w:val="center"/>
            <w:shd w:fill="FFFFFF"/>
          </w:tcPr>
          <w:p>
            <w:pPr>
              <w:spacing w:after="40" w:before="40" w:line="252" w:lineRule="auto"/>
            </w:pPr>
            <w:r>
              <w:rPr>
                <w:b w:val="0"/>
                <w:sz w:val="20"/>
              </w:rPr>
              <w:t>Restricciones</w:t>
            </w:r>
          </w:p>
        </w:tc>
        <w:tc>
          <w:tcPr>
            <w:tcW w:type="dxa" w:w="4068"/>
            <w:vAlign w:val="center"/>
            <w:shd w:fill="FFFFFF"/>
          </w:tcPr>
          <w:p>
            <w:pPr>
              <w:spacing w:after="40" w:before="40" w:line="252" w:lineRule="auto"/>
            </w:pPr>
            <w:r>
              <w:rPr>
                <w:b w:val="0"/>
                <w:sz w:val="20"/>
              </w:rPr>
              <w:t>Depende de objetivos, información y supervisión adecuados; una salida plausible no garantiza que sea correcta.</w:t>
            </w:r>
          </w:p>
        </w:tc>
        <w:tc>
          <w:tcPr>
            <w:tcW w:type="dxa" w:w="4068"/>
            <w:vAlign w:val="center"/>
            <w:shd w:fill="FFFFFF"/>
          </w:tcPr>
          <w:p>
            <w:pPr>
              <w:spacing w:after="40" w:before="40" w:line="252" w:lineRule="auto"/>
            </w:pPr>
            <w:r>
              <w:rPr>
                <w:b w:val="0"/>
                <w:sz w:val="20"/>
              </w:rPr>
              <w:t>La calidad y representatividad de los datos limitan la generalización. No demuestra causalidad.</w:t>
            </w:r>
          </w:p>
        </w:tc>
      </w:tr>
      <w:tr>
        <w:trPr>
          <w:cantSplit/>
        </w:trPr>
        <w:tc>
          <w:tcPr>
            <w:tcW w:type="dxa" w:w="1656"/>
            <w:vAlign w:val="center"/>
            <w:shd w:fill="F4F6F8"/>
          </w:tcPr>
          <w:p>
            <w:pPr>
              <w:spacing w:after="40" w:before="40" w:line="252" w:lineRule="auto"/>
            </w:pPr>
            <w:r>
              <w:rPr>
                <w:b w:val="0"/>
                <w:sz w:val="20"/>
              </w:rPr>
              <w:t>Retos</w:t>
            </w:r>
          </w:p>
        </w:tc>
        <w:tc>
          <w:tcPr>
            <w:tcW w:type="dxa" w:w="4068"/>
            <w:vAlign w:val="center"/>
            <w:shd w:fill="F4F6F8"/>
          </w:tcPr>
          <w:p>
            <w:pPr>
              <w:spacing w:after="40" w:before="40" w:line="252" w:lineRule="auto"/>
            </w:pPr>
            <w:r>
              <w:rPr>
                <w:b w:val="0"/>
                <w:sz w:val="20"/>
              </w:rPr>
              <w:t>Explicabilidad, sesgos, responsabilidad y control de resultados.</w:t>
            </w:r>
          </w:p>
        </w:tc>
        <w:tc>
          <w:tcPr>
            <w:tcW w:type="dxa" w:w="4068"/>
            <w:vAlign w:val="center"/>
            <w:shd w:fill="F4F6F8"/>
          </w:tcPr>
          <w:p>
            <w:pPr>
              <w:spacing w:after="40" w:before="40" w:line="252" w:lineRule="auto"/>
            </w:pPr>
            <w:r>
              <w:rPr>
                <w:b w:val="0"/>
                <w:sz w:val="20"/>
              </w:rPr>
              <w:t>Sobreajuste, fuga de información, faltantes, desbalance y cambios temporales.</w:t>
            </w:r>
          </w:p>
        </w:tc>
      </w:tr>
      <w:tr>
        <w:trPr>
          <w:cantSplit/>
        </w:trPr>
        <w:tc>
          <w:tcPr>
            <w:tcW w:type="dxa" w:w="1656"/>
            <w:vAlign w:val="center"/>
            <w:shd w:fill="FFFFFF"/>
          </w:tcPr>
          <w:p>
            <w:pPr>
              <w:spacing w:after="40" w:before="40" w:line="252" w:lineRule="auto"/>
            </w:pPr>
            <w:r>
              <w:rPr>
                <w:b w:val="0"/>
                <w:sz w:val="20"/>
              </w:rPr>
              <w:t>Casos de aplicación</w:t>
            </w:r>
          </w:p>
        </w:tc>
        <w:tc>
          <w:tcPr>
            <w:tcW w:type="dxa" w:w="4068"/>
            <w:vAlign w:val="center"/>
            <w:shd w:fill="FFFFFF"/>
          </w:tcPr>
          <w:p>
            <w:pPr>
              <w:spacing w:after="40" w:before="40" w:line="252" w:lineRule="auto"/>
            </w:pPr>
            <w:r>
              <w:rPr>
                <w:b w:val="0"/>
                <w:sz w:val="20"/>
              </w:rPr>
              <w:t>Asistentes, sistemas de apoyo a decisiones y robots; en este caso, marco conceptual para apoyo ambiental.</w:t>
            </w:r>
          </w:p>
        </w:tc>
        <w:tc>
          <w:tcPr>
            <w:tcW w:type="dxa" w:w="4068"/>
            <w:vAlign w:val="center"/>
            <w:shd w:fill="FFFFFF"/>
          </w:tcPr>
          <w:p>
            <w:pPr>
              <w:spacing w:after="40" w:before="40" w:line="252" w:lineRule="auto"/>
            </w:pPr>
            <w:r>
              <w:rPr>
                <w:b w:val="0"/>
                <w:sz w:val="20"/>
              </w:rPr>
              <w:t>Predicción de demanda, detección de fraude y calibración de sensores; aquí, regresión de CO y clasificación de sus bandas.</w:t>
            </w:r>
          </w:p>
        </w:tc>
      </w:tr>
      <w:tr>
        <w:trPr>
          <w:cantSplit/>
        </w:trPr>
        <w:tc>
          <w:tcPr>
            <w:tcW w:type="dxa" w:w="1656"/>
            <w:vAlign w:val="center"/>
            <w:shd w:fill="F4F6F8"/>
          </w:tcPr>
          <w:p>
            <w:pPr>
              <w:spacing w:after="40" w:before="40" w:line="252" w:lineRule="auto"/>
            </w:pPr>
            <w:r>
              <w:rPr>
                <w:b w:val="0"/>
                <w:sz w:val="20"/>
              </w:rPr>
              <w:t>Lenguajes y herramientas</w:t>
            </w:r>
          </w:p>
        </w:tc>
        <w:tc>
          <w:tcPr>
            <w:tcW w:type="dxa" w:w="4068"/>
            <w:vAlign w:val="center"/>
            <w:shd w:fill="F4F6F8"/>
          </w:tcPr>
          <w:p>
            <w:pPr>
              <w:spacing w:after="40" w:before="40" w:line="252" w:lineRule="auto"/>
            </w:pPr>
            <w:r>
              <w:rPr>
                <w:b w:val="0"/>
                <w:sz w:val="20"/>
              </w:rPr>
              <w:t>Python; reglas programadas y bibliotecas de aprendizaje como scikit-learn. No se requiere una IA generativa.</w:t>
            </w:r>
          </w:p>
        </w:tc>
        <w:tc>
          <w:tcPr>
            <w:tcW w:type="dxa" w:w="4068"/>
            <w:vAlign w:val="center"/>
            <w:shd w:fill="F4F6F8"/>
          </w:tcPr>
          <w:p>
            <w:pPr>
              <w:spacing w:after="40" w:before="40" w:line="252" w:lineRule="auto"/>
            </w:pPr>
            <w:r>
              <w:rPr>
                <w:b w:val="0"/>
                <w:sz w:val="20"/>
              </w:rPr>
              <w:t>Python o R; scikit-learn para regresión, clasificación, validación y transformaciones.</w:t>
            </w:r>
          </w:p>
        </w:tc>
      </w:tr>
    </w:tbl>
    <w:p>
      <w:pPr>
        <w:spacing w:after="0"/>
      </w:pPr>
    </w:p>
    <w:p>
      <w:pPr>
        <w:pStyle w:val="Heading2"/>
        <w:pageBreakBefore/>
      </w:pPr>
      <w:r>
        <w:t>Data Mining y Big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656"/>
        <w:gridCol w:w="4068"/>
        <w:gridCol w:w="4068"/>
      </w:tblGrid>
      <w:tr>
        <w:trPr>
          <w:cantSplit/>
          <w:tblHeader/>
        </w:trPr>
        <w:tc>
          <w:tcPr>
            <w:tcW w:type="dxa" w:w="1656"/>
            <w:vAlign w:val="center"/>
            <w:shd w:fill="DCE6F1"/>
          </w:tcPr>
          <w:p>
            <w:pPr>
              <w:spacing w:after="40" w:before="40" w:line="252" w:lineRule="auto"/>
            </w:pPr>
            <w:r>
              <w:rPr>
                <w:b/>
                <w:sz w:val="20"/>
              </w:rPr>
              <w:t>Dimensión</w:t>
            </w:r>
          </w:p>
        </w:tc>
        <w:tc>
          <w:tcPr>
            <w:tcW w:type="dxa" w:w="4068"/>
            <w:vAlign w:val="center"/>
            <w:shd w:fill="DCE6F1"/>
          </w:tcPr>
          <w:p>
            <w:pPr>
              <w:spacing w:after="40" w:before="40" w:line="252" w:lineRule="auto"/>
            </w:pPr>
            <w:r>
              <w:rPr>
                <w:b/>
                <w:sz w:val="20"/>
              </w:rPr>
              <w:t>Data Mining</w:t>
            </w:r>
          </w:p>
        </w:tc>
        <w:tc>
          <w:tcPr>
            <w:tcW w:type="dxa" w:w="4068"/>
            <w:vAlign w:val="center"/>
            <w:shd w:fill="DCE6F1"/>
          </w:tcPr>
          <w:p>
            <w:pPr>
              <w:spacing w:after="40" w:before="40" w:line="252" w:lineRule="auto"/>
            </w:pPr>
            <w:r>
              <w:rPr>
                <w:b/>
                <w:sz w:val="20"/>
              </w:rPr>
              <w:t>Big Data</w:t>
            </w:r>
          </w:p>
        </w:tc>
      </w:tr>
      <w:tr>
        <w:trPr>
          <w:cantSplit/>
        </w:trPr>
        <w:tc>
          <w:tcPr>
            <w:tcW w:type="dxa" w:w="1656"/>
            <w:vAlign w:val="center"/>
            <w:shd w:fill="FFFFFF"/>
          </w:tcPr>
          <w:p>
            <w:pPr>
              <w:spacing w:after="40" w:before="40" w:line="252" w:lineRule="auto"/>
            </w:pPr>
            <w:r>
              <w:rPr>
                <w:b w:val="0"/>
                <w:sz w:val="20"/>
              </w:rPr>
              <w:t>Características</w:t>
            </w:r>
          </w:p>
        </w:tc>
        <w:tc>
          <w:tcPr>
            <w:tcW w:type="dxa" w:w="4068"/>
            <w:vAlign w:val="center"/>
            <w:shd w:fill="FFFFFF"/>
          </w:tcPr>
          <w:p>
            <w:pPr>
              <w:spacing w:after="40" w:before="40" w:line="252" w:lineRule="auto"/>
            </w:pPr>
            <w:r>
              <w:rPr>
                <w:b w:val="0"/>
                <w:sz w:val="20"/>
              </w:rPr>
              <w:t>Busca patrones, asociaciones, grupos y relaciones útiles en datos, dentro de un proceso analítico.</w:t>
            </w:r>
          </w:p>
        </w:tc>
        <w:tc>
          <w:tcPr>
            <w:tcW w:type="dxa" w:w="4068"/>
            <w:vAlign w:val="center"/>
            <w:shd w:fill="FFFFFF"/>
          </w:tcPr>
          <w:p>
            <w:pPr>
              <w:spacing w:after="40" w:before="40" w:line="252" w:lineRule="auto"/>
            </w:pPr>
            <w:r>
              <w:rPr>
                <w:b w:val="0"/>
                <w:sz w:val="20"/>
              </w:rPr>
              <w:t>Conjuntos con volumen, velocidad, variedad o variabilidad que justifican arquitectura escalable.</w:t>
            </w:r>
          </w:p>
        </w:tc>
      </w:tr>
      <w:tr>
        <w:trPr>
          <w:cantSplit/>
        </w:trPr>
        <w:tc>
          <w:tcPr>
            <w:tcW w:type="dxa" w:w="1656"/>
            <w:vAlign w:val="center"/>
            <w:shd w:fill="F4F6F8"/>
          </w:tcPr>
          <w:p>
            <w:pPr>
              <w:spacing w:after="40" w:before="40" w:line="252" w:lineRule="auto"/>
            </w:pPr>
            <w:r>
              <w:rPr>
                <w:b w:val="0"/>
                <w:sz w:val="20"/>
              </w:rPr>
              <w:t>Beneficios</w:t>
            </w:r>
          </w:p>
        </w:tc>
        <w:tc>
          <w:tcPr>
            <w:tcW w:type="dxa" w:w="4068"/>
            <w:vAlign w:val="center"/>
            <w:shd w:fill="F4F6F8"/>
          </w:tcPr>
          <w:p>
            <w:pPr>
              <w:spacing w:after="40" w:before="40" w:line="252" w:lineRule="auto"/>
            </w:pPr>
            <w:r>
              <w:rPr>
                <w:b w:val="0"/>
                <w:sz w:val="20"/>
              </w:rPr>
              <w:t>Convierte registros en hallazgos interpretables y plantea hipótesis verificables.</w:t>
            </w:r>
          </w:p>
        </w:tc>
        <w:tc>
          <w:tcPr>
            <w:tcW w:type="dxa" w:w="4068"/>
            <w:vAlign w:val="center"/>
            <w:shd w:fill="F4F6F8"/>
          </w:tcPr>
          <w:p>
            <w:pPr>
              <w:spacing w:after="40" w:before="40" w:line="252" w:lineRule="auto"/>
            </w:pPr>
            <w:r>
              <w:rPr>
                <w:b w:val="0"/>
                <w:sz w:val="20"/>
              </w:rPr>
              <w:t>Permite integrar y procesar flujos o colecciones que exceden una solución local adecuada.</w:t>
            </w:r>
          </w:p>
        </w:tc>
      </w:tr>
      <w:tr>
        <w:trPr>
          <w:cantSplit/>
        </w:trPr>
        <w:tc>
          <w:tcPr>
            <w:tcW w:type="dxa" w:w="1656"/>
            <w:vAlign w:val="center"/>
            <w:shd w:fill="FFFFFF"/>
          </w:tcPr>
          <w:p>
            <w:pPr>
              <w:spacing w:after="40" w:before="40" w:line="252" w:lineRule="auto"/>
            </w:pPr>
            <w:r>
              <w:rPr>
                <w:b w:val="0"/>
                <w:sz w:val="20"/>
              </w:rPr>
              <w:t>Restricciones</w:t>
            </w:r>
          </w:p>
        </w:tc>
        <w:tc>
          <w:tcPr>
            <w:tcW w:type="dxa" w:w="4068"/>
            <w:vAlign w:val="center"/>
            <w:shd w:fill="FFFFFF"/>
          </w:tcPr>
          <w:p>
            <w:pPr>
              <w:spacing w:after="40" w:before="40" w:line="252" w:lineRule="auto"/>
            </w:pPr>
            <w:r>
              <w:rPr>
                <w:b w:val="0"/>
                <w:sz w:val="20"/>
              </w:rPr>
              <w:t>Los patrones dependen de la calidad de los datos y no implican causas. Puede no encontrar relaciones útiles.</w:t>
            </w:r>
          </w:p>
        </w:tc>
        <w:tc>
          <w:tcPr>
            <w:tcW w:type="dxa" w:w="4068"/>
            <w:vAlign w:val="center"/>
            <w:shd w:fill="FFFFFF"/>
          </w:tcPr>
          <w:p>
            <w:pPr>
              <w:spacing w:after="40" w:before="40" w:line="252" w:lineRule="auto"/>
            </w:pPr>
            <w:r>
              <w:rPr>
                <w:b w:val="0"/>
                <w:sz w:val="20"/>
              </w:rPr>
              <w:t>Más infraestructura no asegura datos mejores ni modelos más precisos; añade costos y complejidad.</w:t>
            </w:r>
          </w:p>
        </w:tc>
      </w:tr>
      <w:tr>
        <w:trPr>
          <w:cantSplit/>
        </w:trPr>
        <w:tc>
          <w:tcPr>
            <w:tcW w:type="dxa" w:w="1656"/>
            <w:vAlign w:val="center"/>
            <w:shd w:fill="F4F6F8"/>
          </w:tcPr>
          <w:p>
            <w:pPr>
              <w:spacing w:after="40" w:before="40" w:line="252" w:lineRule="auto"/>
            </w:pPr>
            <w:r>
              <w:rPr>
                <w:b w:val="0"/>
                <w:sz w:val="20"/>
              </w:rPr>
              <w:t>Retos</w:t>
            </w:r>
          </w:p>
        </w:tc>
        <w:tc>
          <w:tcPr>
            <w:tcW w:type="dxa" w:w="4068"/>
            <w:vAlign w:val="center"/>
            <w:shd w:fill="F4F6F8"/>
          </w:tcPr>
          <w:p>
            <w:pPr>
              <w:spacing w:after="40" w:before="40" w:line="252" w:lineRule="auto"/>
            </w:pPr>
            <w:r>
              <w:rPr>
                <w:b w:val="0"/>
                <w:sz w:val="20"/>
              </w:rPr>
              <w:t>Distinguir señales reales de asociaciones espurias, elegir variables e interpretar grupos.</w:t>
            </w:r>
          </w:p>
        </w:tc>
        <w:tc>
          <w:tcPr>
            <w:tcW w:type="dxa" w:w="4068"/>
            <w:vAlign w:val="center"/>
            <w:shd w:fill="F4F6F8"/>
          </w:tcPr>
          <w:p>
            <w:pPr>
              <w:spacing w:after="40" w:before="40" w:line="252" w:lineRule="auto"/>
            </w:pPr>
            <w:r>
              <w:rPr>
                <w:b w:val="0"/>
                <w:sz w:val="20"/>
              </w:rPr>
              <w:t>Particionado, distribución, consistencia, seguridad y coordinación de recursos.</w:t>
            </w:r>
          </w:p>
        </w:tc>
      </w:tr>
      <w:tr>
        <w:trPr>
          <w:cantSplit/>
        </w:trPr>
        <w:tc>
          <w:tcPr>
            <w:tcW w:type="dxa" w:w="1656"/>
            <w:vAlign w:val="center"/>
            <w:shd w:fill="FFFFFF"/>
          </w:tcPr>
          <w:p>
            <w:pPr>
              <w:spacing w:after="40" w:before="40" w:line="252" w:lineRule="auto"/>
            </w:pPr>
            <w:r>
              <w:rPr>
                <w:b w:val="0"/>
                <w:sz w:val="20"/>
              </w:rPr>
              <w:t>Casos de aplicación</w:t>
            </w:r>
          </w:p>
        </w:tc>
        <w:tc>
          <w:tcPr>
            <w:tcW w:type="dxa" w:w="4068"/>
            <w:vAlign w:val="center"/>
            <w:shd w:fill="FFFFFF"/>
          </w:tcPr>
          <w:p>
            <w:pPr>
              <w:spacing w:after="40" w:before="40" w:line="252" w:lineRule="auto"/>
            </w:pPr>
            <w:r>
              <w:rPr>
                <w:b w:val="0"/>
                <w:sz w:val="20"/>
              </w:rPr>
              <w:t>Segmentación de clientes, asociaciones de compra y detección de anomalías; aquí, patrones sensor/ambiente.</w:t>
            </w:r>
          </w:p>
        </w:tc>
        <w:tc>
          <w:tcPr>
            <w:tcW w:type="dxa" w:w="4068"/>
            <w:vAlign w:val="center"/>
            <w:shd w:fill="FFFFFF"/>
          </w:tcPr>
          <w:p>
            <w:pPr>
              <w:spacing w:after="40" w:before="40" w:line="252" w:lineRule="auto"/>
            </w:pPr>
            <w:r>
              <w:rPr>
                <w:b w:val="0"/>
                <w:sz w:val="20"/>
              </w:rPr>
              <w:t>Telemetría de miles de dispositivos y flujos de eventos a gran escala; una red urbana masiva podría requerirlo.</w:t>
            </w:r>
          </w:p>
        </w:tc>
      </w:tr>
      <w:tr>
        <w:trPr>
          <w:cantSplit/>
        </w:trPr>
        <w:tc>
          <w:tcPr>
            <w:tcW w:type="dxa" w:w="1656"/>
            <w:vAlign w:val="center"/>
            <w:shd w:fill="F4F6F8"/>
          </w:tcPr>
          <w:p>
            <w:pPr>
              <w:spacing w:after="40" w:before="40" w:line="252" w:lineRule="auto"/>
            </w:pPr>
            <w:r>
              <w:rPr>
                <w:b w:val="0"/>
                <w:sz w:val="20"/>
              </w:rPr>
              <w:t>Lenguajes y herramientas</w:t>
            </w:r>
          </w:p>
        </w:tc>
        <w:tc>
          <w:tcPr>
            <w:tcW w:type="dxa" w:w="4068"/>
            <w:vAlign w:val="center"/>
            <w:shd w:fill="F4F6F8"/>
          </w:tcPr>
          <w:p>
            <w:pPr>
              <w:spacing w:after="40" w:before="40" w:line="252" w:lineRule="auto"/>
            </w:pPr>
            <w:r>
              <w:rPr>
                <w:b w:val="0"/>
                <w:sz w:val="20"/>
              </w:rPr>
              <w:t>Python, R y SQL; pandas, SQLite y scikit-learn.</w:t>
            </w:r>
          </w:p>
        </w:tc>
        <w:tc>
          <w:tcPr>
            <w:tcW w:type="dxa" w:w="4068"/>
            <w:vAlign w:val="center"/>
            <w:shd w:fill="F4F6F8"/>
          </w:tcPr>
          <w:p>
            <w:pPr>
              <w:spacing w:after="40" w:before="40" w:line="252" w:lineRule="auto"/>
            </w:pPr>
            <w:r>
              <w:rPr>
                <w:b w:val="0"/>
                <w:sz w:val="20"/>
              </w:rPr>
              <w:t>Python, SQL, Scala o Java; Apache Spark como ejemplo de procesamiento distribuido.</w:t>
            </w:r>
          </w:p>
        </w:tc>
      </w:tr>
    </w:tbl>
    <w:p>
      <w:pPr>
        <w:spacing w:after="0"/>
      </w:pPr>
    </w:p>
    <w:p>
      <w:r>
        <w:rPr>
          <w:b w:val="0"/>
        </w:rPr>
        <w:t>En este proyecto, ML permitirá proponer predicciones y Data Mining orientará la búsqueda de patrones. El tamaño de Air Quality permite trabajar localmente; no requiere una infraestructura de Big Data. Apache Spark se incluye como ejemplo comparativo de herramientas para procesamiento distribuido (Apache Software Foundation, s. f.).</w:t>
      </w:r>
    </w:p>
    <w:p>
      <w:pPr>
        <w:pStyle w:val="Heading1"/>
        <w:pageBreakBefore/>
      </w:pPr>
      <w:r>
        <w:t>10. Herramientas propuestas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7416"/>
      </w:tblGrid>
      <w:tr>
        <w:trPr>
          <w:cantSplit/>
          <w:tblHeader/>
        </w:trPr>
        <w:tc>
          <w:tcPr>
            <w:tcW w:type="dxa" w:w="2376"/>
            <w:vAlign w:val="center"/>
            <w:shd w:fill="DCE6F1"/>
          </w:tcPr>
          <w:p>
            <w:pPr>
              <w:spacing w:after="40" w:before="40" w:line="252" w:lineRule="auto"/>
            </w:pPr>
            <w:r>
              <w:rPr>
                <w:b/>
                <w:sz w:val="20"/>
              </w:rPr>
              <w:t>Herramienta</w:t>
            </w:r>
          </w:p>
        </w:tc>
        <w:tc>
          <w:tcPr>
            <w:tcW w:type="dxa" w:w="7416"/>
            <w:vAlign w:val="center"/>
            <w:shd w:fill="DCE6F1"/>
          </w:tcPr>
          <w:p>
            <w:pPr>
              <w:spacing w:after="40" w:before="40" w:line="252" w:lineRule="auto"/>
            </w:pPr>
            <w:r>
              <w:rPr>
                <w:b/>
                <w:sz w:val="20"/>
              </w:rPr>
              <w:t>Función y justificación</w:t>
            </w:r>
          </w:p>
        </w:tc>
      </w:tr>
      <w:tr>
        <w:trPr>
          <w:cantSplit/>
        </w:trPr>
        <w:tc>
          <w:tcPr>
            <w:tcW w:type="dxa" w:w="2376"/>
            <w:vAlign w:val="center"/>
            <w:shd w:fill="FFFFFF"/>
          </w:tcPr>
          <w:p>
            <w:pPr>
              <w:spacing w:after="40" w:before="40" w:line="252" w:lineRule="auto"/>
            </w:pPr>
            <w:r>
              <w:rPr>
                <w:b w:val="0"/>
                <w:sz w:val="20"/>
              </w:rPr>
              <w:t>Python 3</w:t>
            </w:r>
          </w:p>
        </w:tc>
        <w:tc>
          <w:tcPr>
            <w:tcW w:type="dxa" w:w="7416"/>
            <w:vAlign w:val="center"/>
            <w:shd w:fill="FFFFFF"/>
          </w:tcPr>
          <w:p>
            <w:pPr>
              <w:spacing w:after="40" w:before="40" w:line="252" w:lineRule="auto"/>
            </w:pPr>
            <w:r>
              <w:rPr>
                <w:b w:val="0"/>
                <w:sz w:val="20"/>
              </w:rPr>
              <w:t>Lenguaje principal. Permite integrar lectura de datos, análisis y modelos en un mismo flujo reproducible.</w:t>
            </w:r>
          </w:p>
        </w:tc>
      </w:tr>
      <w:tr>
        <w:trPr>
          <w:cantSplit/>
        </w:trPr>
        <w:tc>
          <w:tcPr>
            <w:tcW w:type="dxa" w:w="2376"/>
            <w:vAlign w:val="center"/>
            <w:shd w:fill="F4F6F8"/>
          </w:tcPr>
          <w:p>
            <w:pPr>
              <w:spacing w:after="40" w:before="40" w:line="252" w:lineRule="auto"/>
            </w:pPr>
            <w:r>
              <w:rPr>
                <w:b w:val="0"/>
                <w:sz w:val="20"/>
              </w:rPr>
              <w:t>pandas y NumPy</w:t>
            </w:r>
          </w:p>
        </w:tc>
        <w:tc>
          <w:tcPr>
            <w:tcW w:type="dxa" w:w="7416"/>
            <w:vAlign w:val="center"/>
            <w:shd w:fill="F4F6F8"/>
          </w:tcPr>
          <w:p>
            <w:pPr>
              <w:spacing w:after="40" w:before="40" w:line="252" w:lineRule="auto"/>
            </w:pPr>
            <w:r>
              <w:rPr>
                <w:b w:val="0"/>
                <w:sz w:val="20"/>
              </w:rPr>
              <w:t>Manejo de tablas, fechas y operaciones numéricas. Son adecuados para trabajar con el volumen del dataset en una computadora local.</w:t>
            </w:r>
          </w:p>
        </w:tc>
      </w:tr>
      <w:tr>
        <w:trPr>
          <w:cantSplit/>
        </w:trPr>
        <w:tc>
          <w:tcPr>
            <w:tcW w:type="dxa" w:w="2376"/>
            <w:vAlign w:val="center"/>
            <w:shd w:fill="FFFFFF"/>
          </w:tcPr>
          <w:p>
            <w:pPr>
              <w:spacing w:after="40" w:before="40" w:line="252" w:lineRule="auto"/>
            </w:pPr>
            <w:r>
              <w:rPr>
                <w:b w:val="0"/>
                <w:sz w:val="20"/>
              </w:rPr>
              <w:t>openpyxl</w:t>
            </w:r>
          </w:p>
        </w:tc>
        <w:tc>
          <w:tcPr>
            <w:tcW w:type="dxa" w:w="7416"/>
            <w:vAlign w:val="center"/>
            <w:shd w:fill="FFFFFF"/>
          </w:tcPr>
          <w:p>
            <w:pPr>
              <w:spacing w:after="40" w:before="40" w:line="252" w:lineRule="auto"/>
            </w:pPr>
            <w:r>
              <w:rPr>
                <w:b w:val="0"/>
                <w:sz w:val="20"/>
              </w:rPr>
              <w:t>Lectura del archivo Excel para conservar el formato original sin modificarlo.</w:t>
            </w:r>
          </w:p>
        </w:tc>
      </w:tr>
      <w:tr>
        <w:trPr>
          <w:cantSplit/>
        </w:trPr>
        <w:tc>
          <w:tcPr>
            <w:tcW w:type="dxa" w:w="2376"/>
            <w:vAlign w:val="center"/>
            <w:shd w:fill="F4F6F8"/>
          </w:tcPr>
          <w:p>
            <w:pPr>
              <w:spacing w:after="40" w:before="40" w:line="252" w:lineRule="auto"/>
            </w:pPr>
            <w:r>
              <w:rPr>
                <w:b w:val="0"/>
                <w:sz w:val="20"/>
              </w:rPr>
              <w:t>scikit-learn</w:t>
            </w:r>
          </w:p>
        </w:tc>
        <w:tc>
          <w:tcPr>
            <w:tcW w:type="dxa" w:w="7416"/>
            <w:vAlign w:val="center"/>
            <w:shd w:fill="F4F6F8"/>
          </w:tcPr>
          <w:p>
            <w:pPr>
              <w:spacing w:after="40" w:before="40" w:line="252" w:lineRule="auto"/>
            </w:pPr>
            <w:r>
              <w:rPr>
                <w:b w:val="0"/>
                <w:sz w:val="20"/>
              </w:rPr>
              <w:t>Modelos de regresión y clasificación, clustering, PCA y evaluación. Permite organizar transformaciones y modelos de forma consistente.</w:t>
            </w:r>
          </w:p>
        </w:tc>
      </w:tr>
      <w:tr>
        <w:trPr>
          <w:cantSplit/>
        </w:trPr>
        <w:tc>
          <w:tcPr>
            <w:tcW w:type="dxa" w:w="2376"/>
            <w:vAlign w:val="center"/>
            <w:shd w:fill="FFFFFF"/>
          </w:tcPr>
          <w:p>
            <w:pPr>
              <w:spacing w:after="40" w:before="40" w:line="252" w:lineRule="auto"/>
            </w:pPr>
            <w:r>
              <w:rPr>
                <w:b w:val="0"/>
                <w:sz w:val="20"/>
              </w:rPr>
              <w:t>SQLite y SQL</w:t>
            </w:r>
          </w:p>
        </w:tc>
        <w:tc>
          <w:tcPr>
            <w:tcW w:type="dxa" w:w="7416"/>
            <w:vAlign w:val="center"/>
            <w:shd w:fill="FFFFFF"/>
          </w:tcPr>
          <w:p>
            <w:pPr>
              <w:spacing w:after="40" w:before="40" w:line="252" w:lineRule="auto"/>
            </w:pPr>
            <w:r>
              <w:rPr>
                <w:b w:val="0"/>
                <w:sz w:val="20"/>
              </w:rPr>
              <w:t>Gestor de base de datos y lenguaje de consulta propuestos para organizar una copia preparada. SQLite no requiere instalar un servidor independiente.</w:t>
            </w:r>
          </w:p>
        </w:tc>
      </w:tr>
      <w:tr>
        <w:trPr>
          <w:cantSplit/>
        </w:trPr>
        <w:tc>
          <w:tcPr>
            <w:tcW w:type="dxa" w:w="2376"/>
            <w:vAlign w:val="center"/>
            <w:shd w:fill="F4F6F8"/>
          </w:tcPr>
          <w:p>
            <w:pPr>
              <w:spacing w:after="40" w:before="40" w:line="252" w:lineRule="auto"/>
            </w:pPr>
            <w:r>
              <w:rPr>
                <w:b w:val="0"/>
                <w:sz w:val="20"/>
              </w:rPr>
              <w:t>Jupyter Notebook y Visual Studio Code</w:t>
            </w:r>
          </w:p>
        </w:tc>
        <w:tc>
          <w:tcPr>
            <w:tcW w:type="dxa" w:w="7416"/>
            <w:vAlign w:val="center"/>
            <w:shd w:fill="F4F6F8"/>
          </w:tcPr>
          <w:p>
            <w:pPr>
              <w:spacing w:after="40" w:before="40" w:line="252" w:lineRule="auto"/>
            </w:pPr>
            <w:r>
              <w:rPr>
                <w:b w:val="0"/>
                <w:sz w:val="20"/>
              </w:rPr>
              <w:t>Documentación de la exploración y edición del código, con explicaciones y resultados reproducibles.</w:t>
            </w:r>
          </w:p>
        </w:tc>
      </w:tr>
      <w:tr>
        <w:trPr>
          <w:cantSplit/>
        </w:trPr>
        <w:tc>
          <w:tcPr>
            <w:tcW w:type="dxa" w:w="2376"/>
            <w:vAlign w:val="center"/>
            <w:shd w:fill="FFFFFF"/>
          </w:tcPr>
          <w:p>
            <w:pPr>
              <w:spacing w:after="40" w:before="40" w:line="252" w:lineRule="auto"/>
            </w:pPr>
            <w:r>
              <w:rPr>
                <w:b w:val="0"/>
                <w:sz w:val="20"/>
              </w:rPr>
              <w:t>Matplotlib</w:t>
            </w:r>
          </w:p>
        </w:tc>
        <w:tc>
          <w:tcPr>
            <w:tcW w:type="dxa" w:w="7416"/>
            <w:vAlign w:val="center"/>
            <w:shd w:fill="FFFFFF"/>
          </w:tcPr>
          <w:p>
            <w:pPr>
              <w:spacing w:after="40" w:before="40" w:line="252" w:lineRule="auto"/>
            </w:pPr>
            <w:r>
              <w:rPr>
                <w:b w:val="0"/>
                <w:sz w:val="20"/>
              </w:rPr>
              <w:t>Visualización mediante gráficas temporales, diagramas de dispersión y gráficas de resultados.</w:t>
            </w:r>
          </w:p>
        </w:tc>
      </w:tr>
      <w:tr>
        <w:trPr>
          <w:cantSplit/>
        </w:trPr>
        <w:tc>
          <w:tcPr>
            <w:tcW w:type="dxa" w:w="2376"/>
            <w:vAlign w:val="center"/>
            <w:shd w:fill="F4F6F8"/>
          </w:tcPr>
          <w:p>
            <w:pPr>
              <w:spacing w:after="40" w:before="40" w:line="252" w:lineRule="auto"/>
            </w:pPr>
            <w:r>
              <w:rPr>
                <w:b w:val="0"/>
                <w:sz w:val="20"/>
              </w:rPr>
              <w:t>Git y GitHub</w:t>
            </w:r>
          </w:p>
        </w:tc>
        <w:tc>
          <w:tcPr>
            <w:tcW w:type="dxa" w:w="7416"/>
            <w:vAlign w:val="center"/>
            <w:shd w:fill="F4F6F8"/>
          </w:tcPr>
          <w:p>
            <w:pPr>
              <w:spacing w:after="40" w:before="40" w:line="252" w:lineRule="auto"/>
            </w:pPr>
            <w:r>
              <w:rPr>
                <w:b w:val="0"/>
                <w:sz w:val="20"/>
              </w:rPr>
              <w:t>Control de versiones y conservación de código, documentación y evidencias del proyecto.</w:t>
            </w:r>
          </w:p>
        </w:tc>
      </w:tr>
    </w:tbl>
    <w:p>
      <w:pPr>
        <w:spacing w:after="0"/>
      </w:pPr>
    </w:p>
    <w:p>
      <w:r>
        <w:rPr>
          <w:b w:val="0"/>
        </w:rPr>
        <w:t>La selección se apoya en la documentación de pandas, SQLite, Matplotlib y scikit-learn. Se propone este conjunto por su integración con Python y su suficiencia para el volumen de datos disponible (pandas development team, s. f.; SQLite, s. f.; Matplotlib development team, s. f.; scikit-learn developers, s. f.).</w:t>
      </w:r>
    </w:p>
    <w:p>
      <w:pPr>
        <w:pStyle w:val="Heading1"/>
      </w:pPr>
      <w:r>
        <w:t>11. Metodología</w:t>
      </w:r>
    </w:p>
    <w:p>
      <w:r>
        <w:rPr>
          <w:b w:val="0"/>
        </w:rPr>
        <w:t>Se utilizará CRISP-DM (Cross-Industry Standard Process for Data Mining), una metodología que organiza el análisis de datos en seis etapas. Su proceso es iterativo: los resultados de una fase pueden requerir revisar decisiones anteriores. Es adecuada porque conecta el problema, los datos, el modelado y la comunicación de resultados (Chapman et al., 2000).</w:t>
      </w:r>
    </w:p>
    <w:p>
      <w:r>
        <w:rPr>
          <w:b w:val="0"/>
        </w:rPr>
      </w:r>
      <w:r>
        <w:rPr>
          <w:b/>
        </w:rPr>
        <w:t>Comprensión del negocio:</w:t>
      </w:r>
      <w:r>
        <w:rPr>
          <w:b w:val="0"/>
        </w:rPr>
        <w:t xml:space="preserve"> definir el problema, la necesidad de información y los objetivos.</w:t>
      </w:r>
    </w:p>
    <w:p>
      <w:r>
        <w:rPr>
          <w:b w:val="0"/>
        </w:rPr>
      </w:r>
      <w:r>
        <w:rPr>
          <w:b/>
        </w:rPr>
        <w:t>Comprensión de los datos:</w:t>
      </w:r>
      <w:r>
        <w:rPr>
          <w:b w:val="0"/>
        </w:rPr>
        <w:t xml:space="preserve"> conocer su origen, contenido, estructura y problemas de calidad.</w:t>
      </w:r>
    </w:p>
    <w:p>
      <w:r>
        <w:rPr>
          <w:b w:val="0"/>
        </w:rPr>
      </w:r>
      <w:r>
        <w:rPr>
          <w:b/>
        </w:rPr>
        <w:t>Preparación de los datos:</w:t>
      </w:r>
      <w:r>
        <w:rPr>
          <w:b w:val="0"/>
        </w:rPr>
        <w:t xml:space="preserve"> seleccionar y transformar los datos para su análisis.</w:t>
      </w:r>
    </w:p>
    <w:p>
      <w:r>
        <w:rPr>
          <w:b w:val="0"/>
        </w:rPr>
      </w:r>
      <w:r>
        <w:rPr>
          <w:b/>
        </w:rPr>
        <w:t>Modelado:</w:t>
      </w:r>
      <w:r>
        <w:rPr>
          <w:b w:val="0"/>
        </w:rPr>
        <w:t xml:space="preserve"> aplicar las técnicas adecuadas al problema y ajustar sus parámetros.</w:t>
      </w:r>
    </w:p>
    <w:p>
      <w:r>
        <w:rPr>
          <w:b w:val="0"/>
        </w:rPr>
      </w:r>
      <w:r>
        <w:rPr>
          <w:b/>
        </w:rPr>
        <w:t>Evaluación:</w:t>
      </w:r>
      <w:r>
        <w:rPr>
          <w:b w:val="0"/>
        </w:rPr>
        <w:t xml:space="preserve"> comprobar si los resultados son válidos y responden a los objetivos.</w:t>
      </w:r>
    </w:p>
    <w:p>
      <w:r>
        <w:rPr>
          <w:b w:val="0"/>
        </w:rPr>
      </w:r>
      <w:r>
        <w:rPr>
          <w:b/>
        </w:rPr>
        <w:t>Despliegue:</w:t>
      </w:r>
      <w:r>
        <w:rPr>
          <w:b w:val="0"/>
        </w:rPr>
        <w:t xml:space="preserve"> comunicar y entregar los resultados para su uso.</w:t>
      </w:r>
    </w:p>
    <w:p>
      <w:pPr>
        <w:pStyle w:val="Heading1"/>
        <w:pageBreakBefore/>
      </w:pPr>
      <w:r>
        <w:t>12. Aplicación de la metodología al caso</w:t>
      </w:r>
    </w:p>
    <w:p>
      <w:pPr>
        <w:pStyle w:val="Heading2"/>
      </w:pPr>
      <w:r>
        <w:t>Comprensión del negocio</w:t>
      </w:r>
    </w:p>
    <w:p>
      <w:r>
        <w:rPr>
          <w:b w:val="0"/>
        </w:rPr>
        <w:t>Definir la necesidad de analizar la calidad del aire mediante sensores, establecer CO(GT) como objetivo principal y delimitar el carácter académico del proyecto.</w:t>
      </w:r>
    </w:p>
    <w:p>
      <w:pPr>
        <w:pStyle w:val="Heading2"/>
      </w:pPr>
      <w:r>
        <w:t>Comprensión de los datos</w:t>
      </w:r>
    </w:p>
    <w:p>
      <w:r>
        <w:rPr>
          <w:b w:val="0"/>
        </w:rPr>
        <w:t>Revisar las 15 variables de Air Quality y su significado. En las etapas posteriores se examinarán los faltantes, las relaciones CO-sensores y las variaciones de NO2 según fecha, hora, temperatura y humedad.</w:t>
      </w:r>
    </w:p>
    <w:p>
      <w:pPr>
        <w:pStyle w:val="Heading2"/>
      </w:pPr>
      <w:r>
        <w:t>Preparación de los datos</w:t>
      </w:r>
    </w:p>
    <w:p>
      <w:r>
        <w:rPr>
          <w:b w:val="0"/>
        </w:rPr>
        <w:t>Trabajar con una copia del archivo original. Se identificarán los -200 como faltantes, se revisarán fechas y duplicados, y se organizarán conjuntos de entrenamiento y evaluación respetando el orden temporal. Las transformaciones se ajustarán únicamente con datos de entrenamiento.</w:t>
      </w:r>
    </w:p>
    <w:p>
      <w:pPr>
        <w:pStyle w:val="Heading2"/>
      </w:pPr>
      <w:r>
        <w:t>Modelado</w:t>
      </w:r>
    </w:p>
    <w:p>
      <w:r>
        <w:rPr>
          <w:b w:val="0"/>
        </w:rPr>
        <w:t>Proponer modelos para estimar CO(GT) y clasificar sus bandas de concentración. Para el análisis no supervisado se considerarán las cinco respuestas PT08 y T, RH y AH: describen el comportamiento sensorial y ambiental sin requerir etiquetas. Se estudiarán grupos mediante clustering y la variación conjunta mediante PCA.</w:t>
      </w:r>
    </w:p>
    <w:p>
      <w:pPr>
        <w:pStyle w:val="Heading2"/>
      </w:pPr>
      <w:r>
        <w:t>Evaluación</w:t>
      </w:r>
    </w:p>
    <w:p>
      <w:r>
        <w:rPr>
          <w:b w:val="0"/>
        </w:rPr>
        <w:t>Comparar las predicciones con valores de referencia y revisar los errores de clasificación en datos reservados. Interpretar los grupos y los componentes sin asumir que equivalen a niveles de riesgo sanitario.</w:t>
      </w:r>
    </w:p>
    <w:p>
      <w:pPr>
        <w:pStyle w:val="Heading2"/>
      </w:pPr>
      <w:r>
        <w:t>Despliegue</w:t>
      </w:r>
    </w:p>
    <w:p>
      <w:r>
        <w:rPr>
          <w:b w:val="0"/>
        </w:rPr>
        <w:t>Entregar el informe, el código y las evidencias mediante el repositorio GitHub, explicando resultados y limitaciones. En este proyecto la entrega será académica.</w:t>
      </w:r>
    </w:p>
    <w:p>
      <w:pPr>
        <w:pStyle w:val="Heading2"/>
      </w:pPr>
      <w:r>
        <w:t>Evidencias del proyecto</w:t>
      </w:r>
    </w:p>
    <w:p>
      <w:r>
        <w:rPr>
          <w:b/>
        </w:rPr>
        <w:t xml:space="preserve">Enlace al repositorio GitHub: </w:t>
      </w:r>
      <w:hyperlink r:id="rId10">
        <w:r>
          <w:rPr>
            <w:color w:val="0563C1"/>
            <w:u w:val="single"/>
          </w:rPr>
          <w:t>https://github.com/JoseGamalielP/REC_ECBD_2026_PotencianoMendez_JoseGamaliel</w:t>
        </w:r>
      </w:hyperlink>
    </w:p>
    <w:p>
      <w:r>
        <w:rPr>
          <w:b/>
        </w:rPr>
        <w:t xml:space="preserve">README actualizado: </w:t>
      </w:r>
      <w:hyperlink r:id="rId11">
        <w:r>
          <w:rPr>
            <w:color w:val="0563C1"/>
            <w:u w:val="single"/>
          </w:rPr>
          <w:t>README.md</w:t>
        </w:r>
      </w:hyperlink>
      <w:r>
        <w:t>, con la descripción del proyecto, el dataset y la forma de trabajo.</w:t>
      </w:r>
    </w:p>
    <w:p>
      <w:r>
        <w:rPr>
          <w:b/>
        </w:rPr>
        <w:t xml:space="preserve">Dataset original: </w:t>
      </w:r>
      <w:hyperlink r:id="rId12">
        <w:r>
          <w:rPr>
            <w:color w:val="0563C1"/>
            <w:u w:val="single"/>
          </w:rPr>
          <w:t>data/raw/air+quality/AirQualityUCI.xlsx</w:t>
        </w:r>
      </w:hyperlink>
      <w:r>
        <w:t>, conservado sin modificaciones.</w:t>
      </w:r>
    </w:p>
    <w:p>
      <w:pPr>
        <w:pStyle w:val="Heading1"/>
        <w:pageBreakBefore/>
      </w:pPr>
      <w:r>
        <w:t>13. Definición preliminar del análisis supervisado</w:t>
      </w:r>
    </w:p>
    <w:p>
      <w:r>
        <w:rPr>
          <w:b w:val="0"/>
        </w:rPr>
      </w:r>
      <w:r>
        <w:rPr>
          <w:b/>
        </w:rPr>
        <w:t>Regresión.</w:t>
      </w:r>
      <w:r>
        <w:rPr>
          <w:b w:val="0"/>
        </w:rPr>
        <w:t xml:space="preserve"> Se intentará predecir CO(GT), concentración de monóxido de carbono en mg/m³. Las entradas candidatas serán PT08.S1(CO), PT08.S2(NMHC), PT08.S3(NOx), PT08.S4(NO2), PT08.S5(O3), T, RH y AH. Son pertinentes porque describen las respuestas químicas y el ambiente de la misma observación. Date y Time permitirán ordenar y examinar los registros.</w:t>
      </w:r>
    </w:p>
    <w:p>
      <w:r>
        <w:rPr>
          <w:b w:val="0"/>
        </w:rPr>
      </w:r>
      <w:r>
        <w:rPr>
          <w:b/>
        </w:rPr>
        <w:t>Clasificación.</w:t>
      </w:r>
      <w:r>
        <w:rPr>
          <w:b w:val="0"/>
        </w:rPr>
        <w:t xml:space="preserve"> Se propone crear una variable llamada banda_CO a partir de CO(GT), con tres intervalos preliminares: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7416"/>
      </w:tblGrid>
      <w:tr>
        <w:trPr>
          <w:cantSplit/>
          <w:tblHeader/>
        </w:trPr>
        <w:tc>
          <w:tcPr>
            <w:tcW w:type="dxa" w:w="2376"/>
            <w:vAlign w:val="center"/>
            <w:shd w:fill="DCE6F1"/>
          </w:tcPr>
          <w:p>
            <w:pPr>
              <w:spacing w:after="40" w:before="40" w:line="252" w:lineRule="auto"/>
            </w:pPr>
            <w:r>
              <w:rPr>
                <w:b/>
                <w:sz w:val="20"/>
              </w:rPr>
              <w:t>Categoría</w:t>
            </w:r>
          </w:p>
        </w:tc>
        <w:tc>
          <w:tcPr>
            <w:tcW w:type="dxa" w:w="7416"/>
            <w:vAlign w:val="center"/>
            <w:shd w:fill="DCE6F1"/>
          </w:tcPr>
          <w:p>
            <w:pPr>
              <w:spacing w:after="40" w:before="40" w:line="252" w:lineRule="auto"/>
            </w:pPr>
            <w:r>
              <w:rPr>
                <w:b/>
                <w:sz w:val="20"/>
              </w:rPr>
              <w:t>Criterio de concentración</w:t>
            </w:r>
          </w:p>
        </w:tc>
      </w:tr>
      <w:tr>
        <w:trPr>
          <w:cantSplit/>
        </w:trPr>
        <w:tc>
          <w:tcPr>
            <w:tcW w:type="dxa" w:w="2376"/>
            <w:vAlign w:val="center"/>
            <w:shd w:fill="FFFFFF"/>
          </w:tcPr>
          <w:p>
            <w:pPr>
              <w:spacing w:after="40" w:before="40" w:line="252" w:lineRule="auto"/>
            </w:pPr>
            <w:r>
              <w:rPr>
                <w:b w:val="0"/>
                <w:sz w:val="20"/>
              </w:rPr>
              <w:t>Baja</w:t>
            </w:r>
          </w:p>
        </w:tc>
        <w:tc>
          <w:tcPr>
            <w:tcW w:type="dxa" w:w="7416"/>
            <w:vAlign w:val="center"/>
            <w:shd w:fill="FFFFFF"/>
          </w:tcPr>
          <w:p>
            <w:pPr>
              <w:spacing w:after="40" w:before="40" w:line="252" w:lineRule="auto"/>
            </w:pPr>
            <w:r>
              <w:rPr>
                <w:b w:val="0"/>
                <w:sz w:val="20"/>
              </w:rPr>
              <w:t>0 ≤ CO(GT) &lt; 1 mg/m³</w:t>
            </w:r>
          </w:p>
        </w:tc>
      </w:tr>
      <w:tr>
        <w:trPr>
          <w:cantSplit/>
        </w:trPr>
        <w:tc>
          <w:tcPr>
            <w:tcW w:type="dxa" w:w="2376"/>
            <w:vAlign w:val="center"/>
            <w:shd w:fill="F4F6F8"/>
          </w:tcPr>
          <w:p>
            <w:pPr>
              <w:spacing w:after="40" w:before="40" w:line="252" w:lineRule="auto"/>
            </w:pPr>
            <w:r>
              <w:rPr>
                <w:b w:val="0"/>
                <w:sz w:val="20"/>
              </w:rPr>
              <w:t>Media</w:t>
            </w:r>
          </w:p>
        </w:tc>
        <w:tc>
          <w:tcPr>
            <w:tcW w:type="dxa" w:w="7416"/>
            <w:vAlign w:val="center"/>
            <w:shd w:fill="F4F6F8"/>
          </w:tcPr>
          <w:p>
            <w:pPr>
              <w:spacing w:after="40" w:before="40" w:line="252" w:lineRule="auto"/>
            </w:pPr>
            <w:r>
              <w:rPr>
                <w:b w:val="0"/>
                <w:sz w:val="20"/>
              </w:rPr>
              <w:t>1 ≤ CO(GT) &lt; 3 mg/m³</w:t>
            </w:r>
          </w:p>
        </w:tc>
      </w:tr>
      <w:tr>
        <w:trPr>
          <w:cantSplit/>
        </w:trPr>
        <w:tc>
          <w:tcPr>
            <w:tcW w:type="dxa" w:w="2376"/>
            <w:vAlign w:val="center"/>
            <w:shd w:fill="FFFFFF"/>
          </w:tcPr>
          <w:p>
            <w:pPr>
              <w:spacing w:after="40" w:before="40" w:line="252" w:lineRule="auto"/>
            </w:pPr>
            <w:r>
              <w:rPr>
                <w:b w:val="0"/>
                <w:sz w:val="20"/>
              </w:rPr>
              <w:t>Alta</w:t>
            </w:r>
          </w:p>
        </w:tc>
        <w:tc>
          <w:tcPr>
            <w:tcW w:type="dxa" w:w="7416"/>
            <w:vAlign w:val="center"/>
            <w:shd w:fill="FFFFFF"/>
          </w:tcPr>
          <w:p>
            <w:pPr>
              <w:spacing w:after="40" w:before="40" w:line="252" w:lineRule="auto"/>
            </w:pPr>
            <w:r>
              <w:rPr>
                <w:b w:val="0"/>
                <w:sz w:val="20"/>
              </w:rPr>
              <w:t>CO(GT) ≥ 3 mg/m³</w:t>
            </w:r>
          </w:p>
        </w:tc>
      </w:tr>
    </w:tbl>
    <w:p>
      <w:pPr>
        <w:spacing w:after="0"/>
      </w:pPr>
    </w:p>
    <w:p>
      <w:r>
        <w:rPr>
          <w:b w:val="0"/>
        </w:rPr>
        <w:t>Los límites son una propuesta didáctica para comparar rangos de concentración, no umbrales sanitarios oficiales. La categoría no existe en el archivo original y se creará posteriormente. Se revisará que las clases tengan suficientes registros antes del modelado; los datos con CO faltante no recibirán etiqueta. CO(GT) y banda_CO no se incluirán como variables de entrada de la clasificación.</w:t>
      </w:r>
    </w:p>
    <w:p>
      <w:pPr>
        <w:pStyle w:val="Heading1"/>
      </w:pPr>
      <w:r>
        <w:t>14. Resultados esperados</w:t>
      </w:r>
    </w:p>
    <w:p>
      <w:pPr>
        <w:pStyle w:val="ListBullet"/>
      </w:pPr>
      <w:r>
        <w:rPr>
          <w:b w:val="0"/>
        </w:rPr>
        <w:t>Identificar qué respuestas de los sensores presentan relaciones útiles con CO(GT) y qué aportan la temperatura y la humedad.</w:t>
      </w:r>
    </w:p>
    <w:p>
      <w:pPr>
        <w:pStyle w:val="ListBullet"/>
      </w:pPr>
      <w:r>
        <w:rPr>
          <w:b w:val="0"/>
        </w:rPr>
        <w:t>Describir variaciones temporales y ambientales de los contaminantes, incluyendo NO2(GT).</w:t>
      </w:r>
    </w:p>
    <w:p>
      <w:pPr>
        <w:pStyle w:val="ListBullet"/>
      </w:pPr>
      <w:r>
        <w:rPr>
          <w:b w:val="0"/>
        </w:rPr>
        <w:t>Obtener posteriormente una estimación de CO(GT) y conocer sus errores y limitaciones en registros reservados para evaluación.</w:t>
      </w:r>
    </w:p>
    <w:p>
      <w:pPr>
        <w:pStyle w:val="ListBullet"/>
      </w:pPr>
      <w:r>
        <w:rPr>
          <w:b w:val="0"/>
        </w:rPr>
        <w:t>Distinguir las bandas de concentración propuestas y evaluar los aciertos y errores de su clasificación.</w:t>
      </w:r>
    </w:p>
    <w:p>
      <w:pPr>
        <w:pStyle w:val="ListBullet"/>
      </w:pPr>
      <w:r>
        <w:rPr>
          <w:b w:val="0"/>
        </w:rPr>
        <w:t>Reconocer patrones ambientales y sensoriales mediante clustering y PCA, cuando la calidad de los datos permita interpretarlos.</w:t>
      </w:r>
    </w:p>
    <w:p>
      <w:pPr>
        <w:pStyle w:val="Heading1"/>
        <w:pageBreakBefore/>
      </w:pPr>
      <w:r>
        <w:t>15. Cronograma</w:t>
      </w:r>
    </w:p>
    <w:p>
      <w:r>
        <w:rPr>
          <w:b w:val="0"/>
        </w:rPr>
        <w:t>El periodo oficial del recursamiento comprende del 23 de septiembre al 20 de noviembre de 2026 y la entrega de Unidad I es el 2 de octubre (Herrera Gallardo, 2026). Las fechas intermedias son una propuesta de organización y se ajustarán a las indicaciones de las siguientes unidades.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736"/>
        <w:gridCol w:w="7056"/>
      </w:tblGrid>
      <w:tr>
        <w:trPr>
          <w:cantSplit/>
          <w:tblHeader/>
        </w:trPr>
        <w:tc>
          <w:tcPr>
            <w:tcW w:type="dxa" w:w="2736"/>
            <w:vAlign w:val="center"/>
            <w:shd w:fill="DCE6F1"/>
          </w:tcPr>
          <w:p>
            <w:pPr>
              <w:spacing w:after="40" w:before="40" w:line="252" w:lineRule="auto"/>
            </w:pPr>
            <w:r>
              <w:rPr>
                <w:b/>
                <w:sz w:val="20"/>
              </w:rPr>
              <w:t>Periodo de 2026</w:t>
            </w:r>
          </w:p>
        </w:tc>
        <w:tc>
          <w:tcPr>
            <w:tcW w:type="dxa" w:w="7056"/>
            <w:vAlign w:val="center"/>
            <w:shd w:fill="DCE6F1"/>
          </w:tcPr>
          <w:p>
            <w:pPr>
              <w:spacing w:after="40" w:before="40" w:line="252" w:lineRule="auto"/>
            </w:pPr>
            <w:r>
              <w:rPr>
                <w:b/>
                <w:sz w:val="20"/>
              </w:rPr>
              <w:t>Actividad prevista</w:t>
            </w:r>
          </w:p>
        </w:tc>
      </w:tr>
      <w:tr>
        <w:trPr>
          <w:cantSplit/>
        </w:trPr>
        <w:tc>
          <w:tcPr>
            <w:tcW w:type="dxa" w:w="2736"/>
            <w:vAlign w:val="center"/>
            <w:shd w:fill="FFFFFF"/>
          </w:tcPr>
          <w:p>
            <w:pPr>
              <w:spacing w:after="40" w:before="40" w:line="252" w:lineRule="auto"/>
            </w:pPr>
            <w:r>
              <w:rPr>
                <w:b w:val="0"/>
                <w:sz w:val="20"/>
              </w:rPr>
              <w:t>23-28 de septiembre</w:t>
            </w:r>
          </w:p>
        </w:tc>
        <w:tc>
          <w:tcPr>
            <w:tcW w:type="dxa" w:w="7056"/>
            <w:vAlign w:val="center"/>
            <w:shd w:fill="FFFFFF"/>
          </w:tcPr>
          <w:p>
            <w:pPr>
              <w:spacing w:after="40" w:before="40" w:line="252" w:lineRule="auto"/>
            </w:pPr>
            <w:r>
              <w:rPr>
                <w:b w:val="0"/>
                <w:sz w:val="20"/>
              </w:rPr>
              <w:t>Actividad 0: registro del proyecto, descarga del dataset y estructura del repositorio.</w:t>
            </w:r>
          </w:p>
        </w:tc>
      </w:tr>
      <w:tr>
        <w:trPr>
          <w:cantSplit/>
        </w:trPr>
        <w:tc>
          <w:tcPr>
            <w:tcW w:type="dxa" w:w="2736"/>
            <w:vAlign w:val="center"/>
            <w:shd w:fill="F4F6F8"/>
          </w:tcPr>
          <w:p>
            <w:pPr>
              <w:spacing w:after="40" w:before="40" w:line="252" w:lineRule="auto"/>
            </w:pPr>
            <w:r>
              <w:rPr>
                <w:b w:val="0"/>
                <w:sz w:val="20"/>
              </w:rPr>
              <w:t>29 de septiembre-2 de octubre</w:t>
            </w:r>
          </w:p>
        </w:tc>
        <w:tc>
          <w:tcPr>
            <w:tcW w:type="dxa" w:w="7056"/>
            <w:vAlign w:val="center"/>
            <w:shd w:fill="F4F6F8"/>
          </w:tcPr>
          <w:p>
            <w:pPr>
              <w:spacing w:after="40" w:before="40" w:line="252" w:lineRule="auto"/>
            </w:pPr>
            <w:r>
              <w:rPr>
                <w:b w:val="0"/>
                <w:sz w:val="20"/>
              </w:rPr>
              <w:t>Unidad I: planeación del proyecto, comparación conceptual, metodología y documentación.</w:t>
            </w:r>
          </w:p>
        </w:tc>
      </w:tr>
      <w:tr>
        <w:trPr>
          <w:cantSplit/>
        </w:trPr>
        <w:tc>
          <w:tcPr>
            <w:tcW w:type="dxa" w:w="2736"/>
            <w:vAlign w:val="center"/>
            <w:shd w:fill="FFFFFF"/>
          </w:tcPr>
          <w:p>
            <w:pPr>
              <w:spacing w:after="40" w:before="40" w:line="252" w:lineRule="auto"/>
            </w:pPr>
            <w:r>
              <w:rPr>
                <w:b w:val="0"/>
                <w:sz w:val="20"/>
              </w:rPr>
              <w:t>3-9 de octubre</w:t>
            </w:r>
          </w:p>
        </w:tc>
        <w:tc>
          <w:tcPr>
            <w:tcW w:type="dxa" w:w="7056"/>
            <w:vAlign w:val="center"/>
            <w:shd w:fill="FFFFFF"/>
          </w:tcPr>
          <w:p>
            <w:pPr>
              <w:spacing w:after="40" w:before="40" w:line="252" w:lineRule="auto"/>
            </w:pPr>
            <w:r>
              <w:rPr>
                <w:b w:val="0"/>
                <w:sz w:val="20"/>
              </w:rPr>
              <w:t>Revisión de calidad y comprensión detallada de los datos.</w:t>
            </w:r>
          </w:p>
        </w:tc>
      </w:tr>
      <w:tr>
        <w:trPr>
          <w:cantSplit/>
        </w:trPr>
        <w:tc>
          <w:tcPr>
            <w:tcW w:type="dxa" w:w="2736"/>
            <w:vAlign w:val="center"/>
            <w:shd w:fill="F4F6F8"/>
          </w:tcPr>
          <w:p>
            <w:pPr>
              <w:spacing w:after="40" w:before="40" w:line="252" w:lineRule="auto"/>
            </w:pPr>
            <w:r>
              <w:rPr>
                <w:b w:val="0"/>
                <w:sz w:val="20"/>
              </w:rPr>
              <w:t>10-16 de octubre</w:t>
            </w:r>
          </w:p>
        </w:tc>
        <w:tc>
          <w:tcPr>
            <w:tcW w:type="dxa" w:w="7056"/>
            <w:vAlign w:val="center"/>
            <w:shd w:fill="F4F6F8"/>
          </w:tcPr>
          <w:p>
            <w:pPr>
              <w:spacing w:after="40" w:before="40" w:line="252" w:lineRule="auto"/>
            </w:pPr>
            <w:r>
              <w:rPr>
                <w:b w:val="0"/>
                <w:sz w:val="20"/>
              </w:rPr>
              <w:t>Preparación de una copia del dataset y organización para el análisis.</w:t>
            </w:r>
          </w:p>
        </w:tc>
      </w:tr>
      <w:tr>
        <w:trPr>
          <w:cantSplit/>
        </w:trPr>
        <w:tc>
          <w:tcPr>
            <w:tcW w:type="dxa" w:w="2736"/>
            <w:vAlign w:val="center"/>
            <w:shd w:fill="FFFFFF"/>
          </w:tcPr>
          <w:p>
            <w:pPr>
              <w:spacing w:after="40" w:before="40" w:line="252" w:lineRule="auto"/>
            </w:pPr>
            <w:r>
              <w:rPr>
                <w:b w:val="0"/>
                <w:sz w:val="20"/>
              </w:rPr>
              <w:t>17-23 de octubre</w:t>
            </w:r>
          </w:p>
        </w:tc>
        <w:tc>
          <w:tcPr>
            <w:tcW w:type="dxa" w:w="7056"/>
            <w:vAlign w:val="center"/>
            <w:shd w:fill="FFFFFF"/>
          </w:tcPr>
          <w:p>
            <w:pPr>
              <w:spacing w:after="40" w:before="40" w:line="252" w:lineRule="auto"/>
            </w:pPr>
            <w:r>
              <w:rPr>
                <w:b w:val="0"/>
                <w:sz w:val="20"/>
              </w:rPr>
              <w:t>Análisis de relaciones y desarrollo de regresión.</w:t>
            </w:r>
          </w:p>
        </w:tc>
      </w:tr>
      <w:tr>
        <w:trPr>
          <w:cantSplit/>
        </w:trPr>
        <w:tc>
          <w:tcPr>
            <w:tcW w:type="dxa" w:w="2736"/>
            <w:vAlign w:val="center"/>
            <w:shd w:fill="F4F6F8"/>
          </w:tcPr>
          <w:p>
            <w:pPr>
              <w:spacing w:after="40" w:before="40" w:line="252" w:lineRule="auto"/>
            </w:pPr>
            <w:r>
              <w:rPr>
                <w:b w:val="0"/>
                <w:sz w:val="20"/>
              </w:rPr>
              <w:t>24-30 de octubre</w:t>
            </w:r>
          </w:p>
        </w:tc>
        <w:tc>
          <w:tcPr>
            <w:tcW w:type="dxa" w:w="7056"/>
            <w:vAlign w:val="center"/>
            <w:shd w:fill="F4F6F8"/>
          </w:tcPr>
          <w:p>
            <w:pPr>
              <w:spacing w:after="40" w:before="40" w:line="252" w:lineRule="auto"/>
            </w:pPr>
            <w:r>
              <w:rPr>
                <w:b w:val="0"/>
                <w:sz w:val="20"/>
              </w:rPr>
              <w:t>Clasificación por bandas de concentración.</w:t>
            </w:r>
          </w:p>
        </w:tc>
      </w:tr>
      <w:tr>
        <w:trPr>
          <w:cantSplit/>
        </w:trPr>
        <w:tc>
          <w:tcPr>
            <w:tcW w:type="dxa" w:w="2736"/>
            <w:vAlign w:val="center"/>
            <w:shd w:fill="FFFFFF"/>
          </w:tcPr>
          <w:p>
            <w:pPr>
              <w:spacing w:after="40" w:before="40" w:line="252" w:lineRule="auto"/>
            </w:pPr>
            <w:r>
              <w:rPr>
                <w:b w:val="0"/>
                <w:sz w:val="20"/>
              </w:rPr>
              <w:t>31 de octubre-6 de noviembre</w:t>
            </w:r>
          </w:p>
        </w:tc>
        <w:tc>
          <w:tcPr>
            <w:tcW w:type="dxa" w:w="7056"/>
            <w:vAlign w:val="center"/>
            <w:shd w:fill="FFFFFF"/>
          </w:tcPr>
          <w:p>
            <w:pPr>
              <w:spacing w:after="40" w:before="40" w:line="252" w:lineRule="auto"/>
            </w:pPr>
            <w:r>
              <w:rPr>
                <w:b w:val="0"/>
                <w:sz w:val="20"/>
              </w:rPr>
              <w:t>Clustering y PCA para identificar patrones.</w:t>
            </w:r>
          </w:p>
        </w:tc>
      </w:tr>
      <w:tr>
        <w:trPr>
          <w:cantSplit/>
        </w:trPr>
        <w:tc>
          <w:tcPr>
            <w:tcW w:type="dxa" w:w="2736"/>
            <w:vAlign w:val="center"/>
            <w:shd w:fill="F4F6F8"/>
          </w:tcPr>
          <w:p>
            <w:pPr>
              <w:spacing w:after="40" w:before="40" w:line="252" w:lineRule="auto"/>
            </w:pPr>
            <w:r>
              <w:rPr>
                <w:b w:val="0"/>
                <w:sz w:val="20"/>
              </w:rPr>
              <w:t>7-13 de noviembre</w:t>
            </w:r>
          </w:p>
        </w:tc>
        <w:tc>
          <w:tcPr>
            <w:tcW w:type="dxa" w:w="7056"/>
            <w:vAlign w:val="center"/>
            <w:shd w:fill="F4F6F8"/>
          </w:tcPr>
          <w:p>
            <w:pPr>
              <w:spacing w:after="40" w:before="40" w:line="252" w:lineRule="auto"/>
            </w:pPr>
            <w:r>
              <w:rPr>
                <w:b w:val="0"/>
                <w:sz w:val="20"/>
              </w:rPr>
              <w:t>Evaluación e interpretación de resultados.</w:t>
            </w:r>
          </w:p>
        </w:tc>
      </w:tr>
      <w:tr>
        <w:trPr>
          <w:cantSplit/>
        </w:trPr>
        <w:tc>
          <w:tcPr>
            <w:tcW w:type="dxa" w:w="2736"/>
            <w:vAlign w:val="center"/>
            <w:shd w:fill="FFFFFF"/>
          </w:tcPr>
          <w:p>
            <w:pPr>
              <w:spacing w:after="40" w:before="40" w:line="252" w:lineRule="auto"/>
            </w:pPr>
            <w:r>
              <w:rPr>
                <w:b w:val="0"/>
                <w:sz w:val="20"/>
              </w:rPr>
              <w:t>14-20 de noviembre</w:t>
            </w:r>
          </w:p>
        </w:tc>
        <w:tc>
          <w:tcPr>
            <w:tcW w:type="dxa" w:w="7056"/>
            <w:vAlign w:val="center"/>
            <w:shd w:fill="FFFFFF"/>
          </w:tcPr>
          <w:p>
            <w:pPr>
              <w:spacing w:after="40" w:before="40" w:line="252" w:lineRule="auto"/>
            </w:pPr>
            <w:r>
              <w:rPr>
                <w:b w:val="0"/>
                <w:sz w:val="20"/>
              </w:rPr>
              <w:t>Integración de evidencias, actualización del repositorio y entrega final conforme a la guía correspondiente.</w:t>
            </w:r>
          </w:p>
        </w:tc>
      </w:tr>
    </w:tbl>
    <w:p>
      <w:pPr>
        <w:spacing w:after="0"/>
      </w:pPr>
    </w:p>
    <w:p>
      <w:pPr>
        <w:pStyle w:val="Heading1"/>
        <w:pageBreakBefore/>
      </w:pPr>
      <w:r>
        <w:t>16. Referencias</w:t>
      </w:r>
    </w:p>
    <w:p>
      <w:pPr>
        <w:spacing w:after="200"/>
        <w:ind w:left="360" w:hanging="360"/>
      </w:pPr>
      <w:r>
        <w:rPr>
          <w:i w:val="0"/>
        </w:rPr>
        <w:t xml:space="preserve">Apache Software Foundation. (s. f.). </w:t>
      </w:r>
      <w:r>
        <w:rPr>
          <w:i/>
        </w:rPr>
        <w:t>Spark documentation</w:t>
      </w:r>
      <w:r>
        <w:rPr>
          <w:i w:val="0"/>
        </w:rPr>
        <w:t>. Recuperado el 1 de octubre de 2026, de https://spark.apache.org/docs/latest/</w:t>
      </w:r>
    </w:p>
    <w:p>
      <w:pPr>
        <w:spacing w:after="200"/>
        <w:ind w:left="360" w:hanging="360"/>
      </w:pPr>
      <w:r>
        <w:rPr>
          <w:i w:val="0"/>
        </w:rPr>
        <w:t xml:space="preserve">Chang, W. L., &amp; Grady, N. (2019). </w:t>
      </w:r>
      <w:r>
        <w:rPr>
          <w:i/>
        </w:rPr>
        <w:t>NIST Big Data Interoperability Framework: Volume 1, Definitions</w:t>
      </w:r>
      <w:r>
        <w:rPr>
          <w:i w:val="0"/>
        </w:rPr>
        <w:t xml:space="preserve"> (NIST SP 1500-1r2). National Institute of Standards and Technology. https://doi.org/10.6028/NIST.SP.1500-1r2</w:t>
      </w:r>
    </w:p>
    <w:p>
      <w:pPr>
        <w:spacing w:after="200"/>
        <w:ind w:left="360" w:hanging="360"/>
      </w:pPr>
      <w:r>
        <w:rPr>
          <w:i w:val="0"/>
        </w:rPr>
        <w:t xml:space="preserve">Chapman, P., Clinton, J., Kerber, R., Khabaza, T., Reinartz, T., Shearer, C., &amp; Wirth, R. (2000). </w:t>
      </w:r>
      <w:r>
        <w:rPr>
          <w:i/>
        </w:rPr>
        <w:t>CRISP-DM 1.0: Step-by-step data mining guide</w:t>
      </w:r>
      <w:r>
        <w:rPr>
          <w:i w:val="0"/>
        </w:rPr>
        <w:t>. SPSS. https://public.dhe.ibm.com/software/analytics/spss/documentation/modeler/14.2/es/CRISP-DM.pdf</w:t>
      </w:r>
    </w:p>
    <w:p>
      <w:pPr>
        <w:spacing w:after="200"/>
        <w:ind w:left="360" w:hanging="360"/>
      </w:pPr>
      <w:r>
        <w:rPr>
          <w:i w:val="0"/>
        </w:rPr>
        <w:t xml:space="preserve">Herrera Gallardo, J. L. (2026). </w:t>
      </w:r>
      <w:r>
        <w:rPr>
          <w:i/>
        </w:rPr>
        <w:t>Actividad de evaluación - Unidad I: Recursamiento 2026. Extracción de Conocimiento en Bases de Datos</w:t>
      </w:r>
      <w:r>
        <w:rPr>
          <w:i w:val="0"/>
        </w:rPr>
        <w:t xml:space="preserve"> [Guía de actividad, archivo 05_Actividad_Evaluacion_U1_Recursamiento_ECBD_2026.pdf]. Universidad Tecnológica de Tula-Tepeji.</w:t>
      </w:r>
    </w:p>
    <w:p>
      <w:pPr>
        <w:spacing w:after="200"/>
        <w:ind w:left="360" w:hanging="360"/>
      </w:pPr>
      <w:r>
        <w:rPr>
          <w:i w:val="0"/>
        </w:rPr>
        <w:t xml:space="preserve">IBM. (s. f.). </w:t>
      </w:r>
      <w:r>
        <w:rPr>
          <w:i/>
        </w:rPr>
        <w:t>What is data mining?</w:t>
      </w:r>
      <w:r>
        <w:rPr>
          <w:i w:val="0"/>
        </w:rPr>
        <w:t xml:space="preserve"> Recuperado el 1 de octubre de 2026, de https://www.ibm.com/think/topics/data-mining</w:t>
      </w:r>
    </w:p>
    <w:p>
      <w:pPr>
        <w:spacing w:after="200"/>
        <w:ind w:left="360" w:hanging="360"/>
      </w:pPr>
      <w:r>
        <w:rPr>
          <w:i w:val="0"/>
        </w:rPr>
        <w:t xml:space="preserve">Matplotlib development team. (s. f.). </w:t>
      </w:r>
      <w:r>
        <w:rPr>
          <w:i/>
        </w:rPr>
        <w:t>Quick start guide</w:t>
      </w:r>
      <w:r>
        <w:rPr>
          <w:i w:val="0"/>
        </w:rPr>
        <w:t>. Recuperado el 1 de octubre de 2026, de https://matplotlib.org/stable/users/explain/quick_start.html</w:t>
      </w:r>
    </w:p>
    <w:p>
      <w:pPr>
        <w:spacing w:after="200"/>
        <w:ind w:left="360" w:hanging="360"/>
      </w:pPr>
      <w:r>
        <w:rPr>
          <w:i w:val="0"/>
        </w:rPr>
        <w:t xml:space="preserve">National Institute of Standards and Technology. (s. f.-a). </w:t>
      </w:r>
      <w:r>
        <w:rPr>
          <w:i/>
        </w:rPr>
        <w:t>Artificial intelligence</w:t>
      </w:r>
      <w:r>
        <w:rPr>
          <w:i w:val="0"/>
        </w:rPr>
        <w:t>. Computer Security Resource Center Glossary. Recuperado el 1 de octubre de 2026, de https://csrc.nist.gov/glossary/term/artificial_intelligence</w:t>
      </w:r>
    </w:p>
    <w:p>
      <w:pPr>
        <w:spacing w:after="200"/>
        <w:ind w:left="360" w:hanging="360"/>
      </w:pPr>
      <w:r>
        <w:rPr>
          <w:i w:val="0"/>
        </w:rPr>
        <w:t xml:space="preserve">National Institute of Standards and Technology. (s. f.-b). </w:t>
      </w:r>
      <w:r>
        <w:rPr>
          <w:i/>
        </w:rPr>
        <w:t>Machine learning</w:t>
      </w:r>
      <w:r>
        <w:rPr>
          <w:i w:val="0"/>
        </w:rPr>
        <w:t>. Computer Security Resource Center Glossary. Recuperado el 1 de octubre de 2026, de https://csrc.nist.gov/glossary/term/machine_learning</w:t>
      </w:r>
    </w:p>
    <w:p>
      <w:pPr>
        <w:spacing w:after="200"/>
        <w:ind w:left="360" w:hanging="360"/>
      </w:pPr>
      <w:r>
        <w:rPr>
          <w:i w:val="0"/>
        </w:rPr>
        <w:t xml:space="preserve">pandas development team. (s. f.). </w:t>
      </w:r>
      <w:r>
        <w:rPr>
          <w:i/>
        </w:rPr>
        <w:t>Package overview</w:t>
      </w:r>
      <w:r>
        <w:rPr>
          <w:i w:val="0"/>
        </w:rPr>
        <w:t>. Recuperado el 1 de octubre de 2026, de https://pandas.pydata.org/docs/getting_started/overview.html</w:t>
      </w:r>
    </w:p>
    <w:p>
      <w:pPr>
        <w:spacing w:after="200"/>
        <w:ind w:left="360" w:hanging="360"/>
      </w:pPr>
      <w:r>
        <w:rPr>
          <w:i w:val="0"/>
        </w:rPr>
        <w:t xml:space="preserve">scikit-learn developers. (s. f.). </w:t>
      </w:r>
      <w:r>
        <w:rPr>
          <w:i/>
        </w:rPr>
        <w:t>Common pitfalls and recommended practices</w:t>
      </w:r>
      <w:r>
        <w:rPr>
          <w:i w:val="0"/>
        </w:rPr>
        <w:t>. Recuperado el 1 de octubre de 2026, de https://scikit-learn.org/stable/common_pitfalls.html</w:t>
      </w:r>
    </w:p>
    <w:p>
      <w:pPr>
        <w:spacing w:after="200"/>
        <w:ind w:left="360" w:hanging="360"/>
      </w:pPr>
      <w:r>
        <w:rPr>
          <w:i w:val="0"/>
        </w:rPr>
        <w:t xml:space="preserve">SQLite. (s. f.). </w:t>
      </w:r>
      <w:r>
        <w:rPr>
          <w:i/>
        </w:rPr>
        <w:t>Appropriate uses for SQLite</w:t>
      </w:r>
      <w:r>
        <w:rPr>
          <w:i w:val="0"/>
        </w:rPr>
        <w:t>. Recuperado el 1 de octubre de 2026, de https://www.sqlite.org/whentouse.html</w:t>
      </w:r>
    </w:p>
    <w:p>
      <w:pPr>
        <w:spacing w:after="200"/>
        <w:ind w:left="360" w:hanging="360"/>
      </w:pPr>
      <w:r>
        <w:rPr>
          <w:i w:val="0"/>
        </w:rPr>
        <w:t xml:space="preserve">Vito, S. (2008). </w:t>
      </w:r>
      <w:r>
        <w:rPr>
          <w:i/>
        </w:rPr>
        <w:t>Air Quality</w:t>
      </w:r>
      <w:r>
        <w:rPr>
          <w:i w:val="0"/>
        </w:rPr>
        <w:t xml:space="preserve"> [Conjunto de datos]. UCI Machine Learning Repository. https://doi.org/10.24432/C59K5F</w:t>
      </w:r>
    </w:p>
    <w:sectPr w:rsidR="00FC693F" w:rsidRPr="0006063C" w:rsidSect="00034616">
      <w:footerReference w:type="default" r:id="rId9"/>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oseGamalielP/REC_ECBD_2026_PotencianoMendez_JoseGamaliel" TargetMode="External"/><Relationship Id="rId11" Type="http://schemas.openxmlformats.org/officeDocument/2006/relationships/hyperlink" Target="https://github.com/JoseGamalielP/REC_ECBD_2026_PotencianoMendez_JoseGamaliel/blob/main/README.md" TargetMode="External"/><Relationship Id="rId12" Type="http://schemas.openxmlformats.org/officeDocument/2006/relationships/hyperlink" Target="https://github.com/JoseGamalielP/REC_ECBD_2026_PotencianoMendez_JoseGamaliel/blob/main/data/raw/air%2Bquality/AirQualityUCI.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del Proyecto de Análisis de Datos</dc:title>
  <dc:subject>Extracción de Conocimiento en Bases de Datos - Recursamiento 2026 - Unidad I</dc:subject>
  <dc:creator>José Gamaliel Potenciano Méndez</dc:creator>
  <cp:keywords/>
  <dc:description>generated by python-docx</dc:description>
  <cp:lastModifiedBy/>
  <cp:revision>1</cp:revision>
  <dcterms:created xsi:type="dcterms:W3CDTF">2013-12-23T23:15:00Z</dcterms:created>
  <dcterms:modified xsi:type="dcterms:W3CDTF">2013-12-23T23:15:00Z</dcterms:modified>
  <cp:category/>
</cp:coreProperties>
</file>