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  <w:bookmarkStart w:id="0" w:name="1"/>
      <w:bookmarkStart w:id="1" w:name="1"/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2" w:name="1"/>
      <w:bookmarkStart w:id="3" w:name="1"/>
      <w:bookmarkEnd w:id="3"/>
    </w:p>
    <w:p>
      <w:pPr>
        <w:pStyle w:val="Ttulogeneral"/>
        <w:outlineLvl w:val="9"/>
        <w:rPr>
          <w:lang w:val="en-US"/>
        </w:rPr>
      </w:pPr>
      <w:r>
        <w:rPr>
          <w:lang w:val="en-US"/>
        </w:rPr>
        <w:t>Crear Comprobante CNV &amp; Asociar Comodato</w:t>
      </w:r>
    </w:p>
    <w:p>
      <w:pPr>
        <w:pStyle w:val="SublineHeader"/>
        <w:outlineLvl w:val="9"/>
        <w:rPr>
          <w:lang w:val="en-US"/>
        </w:rPr>
      </w:pPr>
      <w:r>
        <w:rPr>
          <w:lang w:val="en-US"/>
        </w:rPr>
        <w:t>IT Projects</w:t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Normal"/>
        <w:jc w:val="center"/>
        <w:rPr>
          <w:lang w:val="en-US"/>
        </w:rPr>
      </w:pPr>
      <w:r>
        <w:rPr>
          <w:lang w:val="en-US"/>
        </w:rPr>
      </w:r>
    </w:p>
    <w:p>
      <w:pPr>
        <w:pStyle w:val="DocumentMap"/>
        <w:jc w:val="center"/>
        <w:rPr>
          <w:lang w:val="en-US"/>
        </w:rPr>
      </w:pPr>
      <w:r>
        <w:rPr>
          <w:lang w:val="en-US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elsumario"/>
            <w:ind w:left="0" w:right="0" w:hanging="0"/>
            <w:rPr>
              <w:lang w:val="en-US"/>
            </w:rPr>
          </w:pPr>
          <w:r>
            <w:br w:type="page"/>
          </w:r>
          <w:r>
            <w:rPr>
              <w:lang w:val="en-US"/>
            </w:rPr>
            <w:t>Table of Contents</w:t>
          </w:r>
        </w:p>
        <w:p>
          <w:pPr>
            <w:pStyle w:val="Sumario1"/>
            <w:rPr>
              <w:lang w:val="en-US"/>
            </w:rPr>
          </w:pPr>
          <w:r>
            <w:rPr>
              <w:lang w:val="en-US"/>
            </w:rPr>
          </w:r>
        </w:p>
        <w:p>
          <w:pPr>
            <w:pStyle w:val="Sumario2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fldChar w:fldCharType="begin"/>
          </w:r>
          <w:r>
            <w:rPr>
              <w:lang w:val="en-US"/>
            </w:rPr>
            <w:instrText xml:space="preserve"> TOC \o "1-3" \t "Título 1,1" \h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1.1. Management Summary</w:t>
            <w:tab/>
            <w:t>8</w:t>
          </w:r>
        </w:p>
        <w:p>
          <w:pPr>
            <w:pStyle w:val="Sumario2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rPr>
              <w:lang w:val="en-US"/>
            </w:rPr>
            <w:t>1.2. Glossary</w:t>
            <w:tab/>
            <w:t>8</w:t>
          </w:r>
        </w:p>
        <w:p>
          <w:pPr>
            <w:pStyle w:val="Sumario2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rPr>
              <w:lang w:val="en-US"/>
            </w:rPr>
            <w:t>1.3. Architecture goals and restrictions</w:t>
            <w:tab/>
            <w:t>8</w:t>
          </w:r>
        </w:p>
        <w:p>
          <w:pPr>
            <w:pStyle w:val="Sumario3"/>
            <w:tabs>
              <w:tab w:val="clear" w:pos="284"/>
              <w:tab w:val="right" w:pos="8487" w:leader="dot"/>
            </w:tabs>
            <w:rPr/>
          </w:pPr>
          <w:r>
            <w:rPr/>
            <w:t>1.3.1 Aplicabilidad de Desarrollo Seguro de software.</w:t>
            <w:tab/>
            <w:t>8</w:t>
          </w:r>
        </w:p>
        <w:p>
          <w:pPr>
            <w:pStyle w:val="Sumario3"/>
            <w:tabs>
              <w:tab w:val="clear" w:pos="284"/>
              <w:tab w:val="right" w:pos="8487" w:leader="dot"/>
            </w:tabs>
            <w:rPr/>
          </w:pPr>
          <w:r>
            <w:rPr/>
            <w:t>1.3.2 Vulnerabilidad conocida en versiones anteriores.</w:t>
            <w:tab/>
            <w:t>9</w:t>
          </w:r>
        </w:p>
        <w:p>
          <w:pPr>
            <w:pStyle w:val="Sumario2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rPr>
              <w:lang w:val="en-US"/>
            </w:rPr>
            <w:t>1.4. System Requirements View</w:t>
            <w:tab/>
            <w:t>9</w:t>
          </w:r>
        </w:p>
        <w:p>
          <w:pPr>
            <w:pStyle w:val="Sumario3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rPr>
              <w:lang w:val="en-US"/>
            </w:rPr>
            <w:t>1.4.1. Use Cases</w:t>
            <w:tab/>
            <w:t>9</w:t>
          </w:r>
        </w:p>
        <w:p>
          <w:pPr>
            <w:pStyle w:val="Sumario3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rPr>
              <w:lang w:val="en-US"/>
            </w:rPr>
            <w:t>1.4.2. Use Case Diagram</w:t>
            <w:tab/>
            <w:t>9</w:t>
          </w:r>
        </w:p>
        <w:p>
          <w:pPr>
            <w:pStyle w:val="Sumario3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rPr>
              <w:lang w:val="en-US"/>
            </w:rPr>
            <w:t>1.4.3. Components Sequential Flow</w:t>
            <w:tab/>
            <w:t>9</w:t>
          </w:r>
        </w:p>
        <w:p>
          <w:pPr>
            <w:pStyle w:val="Sumario3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rPr>
              <w:lang w:val="en-US"/>
            </w:rPr>
            <w:t>2. SOLUTION ARCHITECTURE</w:t>
            <w:tab/>
            <w:t>22</w:t>
          </w:r>
        </w:p>
        <w:p>
          <w:pPr>
            <w:pStyle w:val="Sumario2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rPr>
              <w:lang w:val="en-US"/>
            </w:rPr>
            <w:t>2.1 Vista Macro</w:t>
            <w:tab/>
            <w:t>22</w:t>
          </w:r>
        </w:p>
        <w:p>
          <w:pPr>
            <w:pStyle w:val="Sumario2"/>
            <w:tabs>
              <w:tab w:val="clear" w:pos="284"/>
              <w:tab w:val="right" w:pos="8487" w:leader="dot"/>
            </w:tabs>
            <w:rPr>
              <w:lang w:val="en-US"/>
            </w:rPr>
          </w:pPr>
          <w:r>
            <w:rPr>
              <w:lang w:val="en-US"/>
            </w:rPr>
            <w:t>2.4. Development View</w:t>
            <w:tab/>
            <w:t>23</w:t>
          </w:r>
        </w:p>
        <w:p>
          <w:pPr>
            <w:pStyle w:val="Sumario1"/>
            <w:rPr>
              <w:bCs w:val="false"/>
            </w:rPr>
          </w:pPr>
          <w:r>
            <w:rPr>
              <w:bCs w:val="false"/>
            </w:rPr>
          </w:r>
          <w:r>
            <w:rPr>
              <w:bCs w:val="false"/>
            </w:rPr>
            <w:fldChar w:fldCharType="end"/>
          </w:r>
        </w:p>
        <w:p>
          <w:pPr>
            <w:sectPr>
              <w:headerReference w:type="default" r:id="rId2"/>
              <w:footerReference w:type="default" r:id="rId3"/>
              <w:type w:val="nextPage"/>
              <w:pgSz w:w="11906" w:h="16838"/>
              <w:pgMar w:left="1701" w:right="1701" w:gutter="0" w:header="709" w:top="1440" w:footer="709" w:bottom="1440"/>
              <w:pgNumType w:fmt="decimal"/>
              <w:formProt w:val="false"/>
              <w:titlePg/>
              <w:textDirection w:val="lrTb"/>
              <w:docGrid w:type="default" w:linePitch="360" w:charSpace="8192"/>
            </w:sectPr>
          </w:pPr>
        </w:p>
      </w:sdtContent>
    </w:sdt>
    <w:p>
      <w:pPr>
        <w:pStyle w:val="Normal"/>
        <w:rPr>
          <w:b/>
          <w:b/>
          <w:color w:val="1F497D"/>
          <w:lang w:val="en-US"/>
        </w:rPr>
      </w:pPr>
      <w:bookmarkStart w:id="4" w:name="scroll-bookmark-1"/>
      <w:bookmarkEnd w:id="4"/>
      <w:r>
        <w:rPr>
          <w:b/>
          <w:color w:val="1F497D"/>
          <w:lang w:val="en-US"/>
        </w:rPr>
        <w:t>Blueprint Level 3 - Software Architecture</w:t>
      </w:r>
    </w:p>
    <w:p>
      <w:pPr>
        <w:pStyle w:val="Normal"/>
        <w:rPr>
          <w:b/>
          <w:b/>
          <w:color w:val="4F81BD"/>
          <w:lang w:val="en-US"/>
        </w:rPr>
      </w:pPr>
      <w:r>
        <w:rPr>
          <w:b/>
          <w:color w:val="4F81BD"/>
          <w:lang w:val="en-US"/>
        </w:rPr>
        <w:t>ECommerce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color w:val="4F81BD"/>
          <w:lang w:val="en-US"/>
        </w:rPr>
      </w:pPr>
      <w:r>
        <w:rPr>
          <w:color w:val="4F81BD"/>
          <w:lang w:val="en-US"/>
        </w:rPr>
        <w:t>Version 2021 0.1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numPr>
          <w:ilvl w:val="0"/>
          <w:numId w:val="2"/>
        </w:numPr>
        <w:rPr/>
      </w:pPr>
      <w:hyperlink w:anchor="scroll-bookmark-2">
        <w:r>
          <w:rPr>
            <w:rStyle w:val="EnlacedeInternet"/>
          </w:rPr>
          <w:t>Version Control</w:t>
        </w:r>
      </w:hyperlink>
    </w:p>
    <w:p>
      <w:pPr>
        <w:pStyle w:val="Normal"/>
        <w:numPr>
          <w:ilvl w:val="0"/>
          <w:numId w:val="2"/>
        </w:numPr>
        <w:rPr/>
      </w:pPr>
      <w:hyperlink w:anchor="scroll-bookmark-3">
        <w:r>
          <w:rPr>
            <w:rStyle w:val="EnlacedeInternet"/>
          </w:rPr>
          <w:t>Approval History</w:t>
        </w:r>
      </w:hyperlink>
    </w:p>
    <w:p>
      <w:pPr>
        <w:pStyle w:val="Normal"/>
        <w:numPr>
          <w:ilvl w:val="0"/>
          <w:numId w:val="2"/>
        </w:numPr>
        <w:rPr/>
      </w:pPr>
      <w:hyperlink w:anchor="scroll-bookmark-4">
        <w:r>
          <w:rPr>
            <w:rStyle w:val="EnlacedeInternet"/>
          </w:rPr>
          <w:t>Software Architecture</w:t>
        </w:r>
      </w:hyperlink>
    </w:p>
    <w:p>
      <w:pPr>
        <w:pStyle w:val="Normal"/>
        <w:numPr>
          <w:ilvl w:val="0"/>
          <w:numId w:val="2"/>
        </w:numPr>
        <w:rPr/>
      </w:pPr>
      <w:hyperlink w:anchor="scroll-bookmark-5">
        <w:r>
          <w:rPr>
            <w:rStyle w:val="EnlacedeInternet"/>
          </w:rPr>
          <w:t>1. SOLUTION DESCRIPTION</w:t>
        </w:r>
      </w:hyperlink>
    </w:p>
    <w:p>
      <w:pPr>
        <w:pStyle w:val="Normal"/>
        <w:numPr>
          <w:ilvl w:val="1"/>
          <w:numId w:val="3"/>
        </w:numPr>
        <w:rPr/>
      </w:pPr>
      <w:hyperlink w:anchor="scroll-bookmark-6">
        <w:r>
          <w:rPr>
            <w:rStyle w:val="EnlacedeInternet"/>
          </w:rPr>
          <w:t>1.1. Management Summary</w:t>
        </w:r>
      </w:hyperlink>
    </w:p>
    <w:p>
      <w:pPr>
        <w:pStyle w:val="Normal"/>
        <w:numPr>
          <w:ilvl w:val="1"/>
          <w:numId w:val="3"/>
        </w:numPr>
        <w:rPr/>
      </w:pPr>
      <w:hyperlink w:anchor="scroll-bookmark-7">
        <w:r>
          <w:rPr>
            <w:rStyle w:val="EnlacedeInternet"/>
          </w:rPr>
          <w:t>1.2. Glossary</w:t>
        </w:r>
      </w:hyperlink>
    </w:p>
    <w:p>
      <w:pPr>
        <w:pStyle w:val="Normal"/>
        <w:numPr>
          <w:ilvl w:val="1"/>
          <w:numId w:val="3"/>
        </w:numPr>
        <w:rPr/>
      </w:pPr>
      <w:hyperlink w:anchor="scroll-bookmark-8">
        <w:r>
          <w:rPr>
            <w:rStyle w:val="EnlacedeInternet"/>
          </w:rPr>
          <w:t>1.3. Architecture goals and restrictions</w:t>
        </w:r>
      </w:hyperlink>
    </w:p>
    <w:p>
      <w:pPr>
        <w:pStyle w:val="Normal"/>
        <w:numPr>
          <w:ilvl w:val="2"/>
          <w:numId w:val="4"/>
        </w:numPr>
        <w:rPr/>
      </w:pPr>
      <w:hyperlink w:anchor="scroll-bookmark-9">
        <w:r>
          <w:rPr>
            <w:rStyle w:val="EnlacedeInternet"/>
          </w:rPr>
          <w:t>1.3.1 Aplicabilidad de Desarrollo Seguro de software.</w:t>
        </w:r>
      </w:hyperlink>
    </w:p>
    <w:p>
      <w:pPr>
        <w:pStyle w:val="Normal"/>
        <w:numPr>
          <w:ilvl w:val="2"/>
          <w:numId w:val="4"/>
        </w:numPr>
        <w:rPr/>
      </w:pPr>
      <w:hyperlink w:anchor="scroll-bookmark-10">
        <w:r>
          <w:rPr>
            <w:rStyle w:val="EnlacedeInternet"/>
          </w:rPr>
          <w:t>1.3.2 Vulnerabilidad conocida en versiones anteriores.</w:t>
        </w:r>
      </w:hyperlink>
    </w:p>
    <w:p>
      <w:pPr>
        <w:pStyle w:val="Normal"/>
        <w:numPr>
          <w:ilvl w:val="1"/>
          <w:numId w:val="3"/>
        </w:numPr>
        <w:rPr/>
      </w:pPr>
      <w:hyperlink w:anchor="scroll-bookmark-11">
        <w:r>
          <w:rPr>
            <w:rStyle w:val="EnlacedeInternet"/>
          </w:rPr>
          <w:t>1.4. System Requirements View</w:t>
        </w:r>
      </w:hyperlink>
    </w:p>
    <w:p>
      <w:pPr>
        <w:pStyle w:val="Normal"/>
        <w:numPr>
          <w:ilvl w:val="2"/>
          <w:numId w:val="5"/>
        </w:numPr>
        <w:rPr/>
      </w:pPr>
      <w:hyperlink w:anchor="scroll-bookmark-12">
        <w:r>
          <w:rPr>
            <w:rStyle w:val="EnlacedeInternet"/>
          </w:rPr>
          <w:t>1.4.1. Use Cases</w:t>
        </w:r>
      </w:hyperlink>
    </w:p>
    <w:p>
      <w:pPr>
        <w:pStyle w:val="Normal"/>
        <w:numPr>
          <w:ilvl w:val="2"/>
          <w:numId w:val="5"/>
        </w:numPr>
        <w:rPr/>
      </w:pPr>
      <w:hyperlink w:anchor="scroll-bookmark-13">
        <w:r>
          <w:rPr>
            <w:rStyle w:val="EnlacedeInternet"/>
          </w:rPr>
          <w:t>1.4.2. Use Case Diagram</w:t>
        </w:r>
      </w:hyperlink>
    </w:p>
    <w:p>
      <w:pPr>
        <w:pStyle w:val="Normal"/>
        <w:numPr>
          <w:ilvl w:val="2"/>
          <w:numId w:val="5"/>
        </w:numPr>
        <w:rPr/>
      </w:pPr>
      <w:hyperlink w:anchor="scroll-bookmark-14">
        <w:r>
          <w:rPr>
            <w:rStyle w:val="EnlacedeInternet"/>
          </w:rPr>
          <w:t>1.4.3. Components Sequential Flow</w:t>
        </w:r>
      </w:hyperlink>
    </w:p>
    <w:p>
      <w:pPr>
        <w:pStyle w:val="Normal"/>
        <w:numPr>
          <w:ilvl w:val="2"/>
          <w:numId w:val="5"/>
        </w:numPr>
        <w:rPr/>
      </w:pPr>
      <w:hyperlink w:anchor="scroll-bookmark-15">
        <w:r>
          <w:rPr>
            <w:rStyle w:val="EnlacedeInternet"/>
          </w:rPr>
          <w:t>1.4.4. Presentation and Application delivery requirements</w:t>
        </w:r>
      </w:hyperlink>
    </w:p>
    <w:p>
      <w:pPr>
        <w:pStyle w:val="Normal"/>
        <w:numPr>
          <w:ilvl w:val="3"/>
          <w:numId w:val="6"/>
        </w:numPr>
        <w:rPr/>
      </w:pPr>
      <w:hyperlink w:anchor="scroll-bookmark-16">
        <w:r>
          <w:rPr>
            <w:rStyle w:val="EnlacedeInternet"/>
            <w:lang w:val="en-US"/>
          </w:rPr>
          <w:t>1.4.4.1. For each interface (i.e. SMS, ussd, web, IVR, Application Interface, others)</w:t>
        </w:r>
      </w:hyperlink>
    </w:p>
    <w:p>
      <w:pPr>
        <w:pStyle w:val="Normal"/>
        <w:numPr>
          <w:ilvl w:val="2"/>
          <w:numId w:val="5"/>
        </w:numPr>
        <w:rPr/>
      </w:pPr>
      <w:hyperlink w:anchor="scroll-bookmark-17">
        <w:r>
          <w:rPr>
            <w:rStyle w:val="EnlacedeInternet"/>
          </w:rPr>
          <w:t>1.4.5. Reporting</w:t>
        </w:r>
      </w:hyperlink>
    </w:p>
    <w:p>
      <w:pPr>
        <w:pStyle w:val="Normal"/>
        <w:numPr>
          <w:ilvl w:val="1"/>
          <w:numId w:val="3"/>
        </w:numPr>
        <w:rPr/>
      </w:pPr>
      <w:hyperlink w:anchor="scroll-bookmark-18">
        <w:r>
          <w:rPr>
            <w:rStyle w:val="EnlacedeInternet"/>
          </w:rPr>
          <w:t>1.5. Monitoring Requirements</w:t>
        </w:r>
      </w:hyperlink>
    </w:p>
    <w:p>
      <w:pPr>
        <w:pStyle w:val="Normal"/>
        <w:numPr>
          <w:ilvl w:val="1"/>
          <w:numId w:val="3"/>
        </w:numPr>
        <w:rPr/>
      </w:pPr>
      <w:hyperlink w:anchor="scroll-bookmark-19">
        <w:r>
          <w:rPr>
            <w:rStyle w:val="EnlacedeInternet"/>
          </w:rPr>
          <w:t>1.6. Quality Attributes</w:t>
        </w:r>
      </w:hyperlink>
    </w:p>
    <w:p>
      <w:pPr>
        <w:pStyle w:val="Normal"/>
        <w:numPr>
          <w:ilvl w:val="1"/>
          <w:numId w:val="3"/>
        </w:numPr>
        <w:rPr/>
      </w:pPr>
      <w:hyperlink w:anchor="scroll-bookmark-20">
        <w:r>
          <w:rPr>
            <w:rStyle w:val="EnlacedeInternet"/>
          </w:rPr>
          <w:t>1.7. Security Attributes</w:t>
        </w:r>
      </w:hyperlink>
    </w:p>
    <w:p>
      <w:pPr>
        <w:pStyle w:val="Normal"/>
        <w:numPr>
          <w:ilvl w:val="1"/>
          <w:numId w:val="3"/>
        </w:numPr>
        <w:rPr/>
      </w:pPr>
      <w:hyperlink w:anchor="scroll-bookmark-21">
        <w:r>
          <w:rPr>
            <w:rStyle w:val="EnlacedeInternet"/>
          </w:rPr>
          <w:t>1.8. Revenue Assurance Requirements</w:t>
        </w:r>
      </w:hyperlink>
    </w:p>
    <w:p>
      <w:pPr>
        <w:pStyle w:val="Normal"/>
        <w:numPr>
          <w:ilvl w:val="0"/>
          <w:numId w:val="2"/>
        </w:numPr>
        <w:rPr/>
      </w:pPr>
      <w:hyperlink w:anchor="scroll-bookmark-22">
        <w:r>
          <w:rPr>
            <w:rStyle w:val="EnlacedeInternet"/>
          </w:rPr>
          <w:t>2. SOLUTION ARCHITECTURE</w:t>
        </w:r>
      </w:hyperlink>
    </w:p>
    <w:p>
      <w:pPr>
        <w:pStyle w:val="Normal"/>
        <w:numPr>
          <w:ilvl w:val="1"/>
          <w:numId w:val="7"/>
        </w:numPr>
        <w:rPr/>
      </w:pPr>
      <w:hyperlink w:anchor="scroll-bookmark-23">
        <w:r>
          <w:rPr>
            <w:rStyle w:val="EnlacedeInternet"/>
          </w:rPr>
          <w:t>2.1 Vista Macro</w:t>
        </w:r>
      </w:hyperlink>
    </w:p>
    <w:p>
      <w:pPr>
        <w:pStyle w:val="Normal"/>
        <w:numPr>
          <w:ilvl w:val="0"/>
          <w:numId w:val="2"/>
        </w:numPr>
        <w:rPr/>
      </w:pPr>
      <w:hyperlink w:anchor="scroll-bookmark-24">
        <w:r>
          <w:rPr>
            <w:rStyle w:val="EnlacedeInternet"/>
          </w:rPr>
          <w:t>2.2 Process View</w:t>
        </w:r>
      </w:hyperlink>
    </w:p>
    <w:p>
      <w:pPr>
        <w:pStyle w:val="Normal"/>
        <w:numPr>
          <w:ilvl w:val="1"/>
          <w:numId w:val="8"/>
        </w:numPr>
        <w:rPr/>
      </w:pPr>
      <w:hyperlink w:anchor="scroll-bookmark-25">
        <w:r>
          <w:rPr>
            <w:rStyle w:val="EnlacedeInternet"/>
          </w:rPr>
          <w:t>2.3. Non Functional Requirements</w:t>
        </w:r>
      </w:hyperlink>
    </w:p>
    <w:p>
      <w:pPr>
        <w:pStyle w:val="Normal"/>
        <w:numPr>
          <w:ilvl w:val="2"/>
          <w:numId w:val="9"/>
        </w:numPr>
        <w:rPr/>
      </w:pPr>
      <w:hyperlink w:anchor="scroll-bookmark-26">
        <w:r>
          <w:rPr>
            <w:rStyle w:val="EnlacedeInternet"/>
          </w:rPr>
          <w:t>2.3.1. Revenue Assurance Requirements</w:t>
        </w:r>
      </w:hyperlink>
    </w:p>
    <w:p>
      <w:pPr>
        <w:pStyle w:val="Normal"/>
        <w:numPr>
          <w:ilvl w:val="1"/>
          <w:numId w:val="8"/>
        </w:numPr>
        <w:rPr/>
      </w:pPr>
      <w:hyperlink w:anchor="scroll-bookmark-27">
        <w:r>
          <w:rPr>
            <w:rStyle w:val="EnlacedeInternet"/>
          </w:rPr>
          <w:t>2.4. Development View</w:t>
        </w:r>
      </w:hyperlink>
    </w:p>
    <w:p>
      <w:pPr>
        <w:pStyle w:val="Normal"/>
        <w:numPr>
          <w:ilvl w:val="1"/>
          <w:numId w:val="8"/>
        </w:numPr>
        <w:rPr/>
      </w:pPr>
      <w:hyperlink w:anchor="scroll-bookmark-28">
        <w:r>
          <w:rPr>
            <w:rStyle w:val="EnlacedeInternet"/>
          </w:rPr>
          <w:t>2.5. Data View (optional)</w:t>
        </w:r>
      </w:hyperlink>
    </w:p>
    <w:p>
      <w:pPr>
        <w:pStyle w:val="Normal"/>
        <w:numPr>
          <w:ilvl w:val="1"/>
          <w:numId w:val="8"/>
        </w:numPr>
        <w:rPr/>
      </w:pPr>
      <w:hyperlink w:anchor="scroll-bookmark-29">
        <w:r>
          <w:rPr>
            <w:rStyle w:val="EnlacedeInternet"/>
          </w:rPr>
          <w:t>2.6. Integration Requirements</w:t>
        </w:r>
      </w:hyperlink>
    </w:p>
    <w:p>
      <w:pPr>
        <w:pStyle w:val="Normal"/>
        <w:numPr>
          <w:ilvl w:val="1"/>
          <w:numId w:val="8"/>
        </w:numPr>
        <w:rPr/>
      </w:pPr>
      <w:hyperlink w:anchor="scroll-bookmark-30">
        <w:r>
          <w:rPr>
            <w:rStyle w:val="EnlacedeInternet"/>
          </w:rPr>
          <w:t>2.7. Fault Management</w:t>
        </w:r>
      </w:hyperlink>
    </w:p>
    <w:p>
      <w:pPr>
        <w:pStyle w:val="Normal"/>
        <w:numPr>
          <w:ilvl w:val="0"/>
          <w:numId w:val="2"/>
        </w:numPr>
        <w:rPr/>
      </w:pPr>
      <w:hyperlink w:anchor="scroll-bookmark-31">
        <w:r>
          <w:rPr>
            <w:rStyle w:val="EnlacedeInternet"/>
          </w:rPr>
          <w:t>3. Physical View</w:t>
        </w:r>
      </w:hyperlink>
    </w:p>
    <w:p>
      <w:pPr>
        <w:pStyle w:val="Normal"/>
        <w:numPr>
          <w:ilvl w:val="1"/>
          <w:numId w:val="10"/>
        </w:numPr>
        <w:rPr/>
      </w:pPr>
      <w:hyperlink w:anchor="scroll-bookmark-32">
        <w:r>
          <w:rPr>
            <w:rStyle w:val="EnlacedeInternet"/>
          </w:rPr>
          <w:t>3.1. Infrastructure base requirements</w:t>
        </w:r>
      </w:hyperlink>
    </w:p>
    <w:p>
      <w:pPr>
        <w:pStyle w:val="Normal"/>
        <w:numPr>
          <w:ilvl w:val="1"/>
          <w:numId w:val="10"/>
        </w:numPr>
        <w:rPr/>
      </w:pPr>
      <w:hyperlink w:anchor="scroll-bookmark-33">
        <w:r>
          <w:rPr>
            <w:rStyle w:val="EnlacedeInternet"/>
          </w:rPr>
          <w:t>3.2. Technology Description</w:t>
        </w:r>
      </w:hyperlink>
    </w:p>
    <w:p>
      <w:pPr>
        <w:pStyle w:val="Normal"/>
        <w:numPr>
          <w:ilvl w:val="1"/>
          <w:numId w:val="10"/>
        </w:numPr>
        <w:rPr/>
      </w:pPr>
      <w:hyperlink w:anchor="scroll-bookmark-34">
        <w:r>
          <w:rPr>
            <w:rStyle w:val="EnlacedeInternet"/>
          </w:rPr>
          <w:t>3.3. Physical Diagram</w:t>
        </w:r>
      </w:hyperlink>
    </w:p>
    <w:p>
      <w:pPr>
        <w:pStyle w:val="Normal"/>
        <w:numPr>
          <w:ilvl w:val="2"/>
          <w:numId w:val="11"/>
        </w:numPr>
        <w:rPr/>
      </w:pPr>
      <w:hyperlink w:anchor="scroll-bookmark-35">
        <w:r>
          <w:rPr>
            <w:rStyle w:val="EnlacedeInternet"/>
          </w:rPr>
          <w:t>3.3.1. Production Environment</w:t>
        </w:r>
      </w:hyperlink>
    </w:p>
    <w:p>
      <w:pPr>
        <w:pStyle w:val="Normal"/>
        <w:numPr>
          <w:ilvl w:val="2"/>
          <w:numId w:val="11"/>
        </w:numPr>
        <w:rPr/>
      </w:pPr>
      <w:hyperlink w:anchor="scroll-bookmark-36">
        <w:r>
          <w:rPr>
            <w:rStyle w:val="EnlacedeInternet"/>
          </w:rPr>
          <w:t>3.3.2. Contingency Environment</w:t>
        </w:r>
      </w:hyperlink>
    </w:p>
    <w:p>
      <w:pPr>
        <w:pStyle w:val="Normal"/>
        <w:numPr>
          <w:ilvl w:val="2"/>
          <w:numId w:val="11"/>
        </w:numPr>
        <w:rPr/>
      </w:pPr>
      <w:hyperlink w:anchor="scroll-bookmark-37">
        <w:r>
          <w:rPr>
            <w:rStyle w:val="EnlacedeInternet"/>
          </w:rPr>
          <w:t>3.3.3. Environment Quality</w:t>
        </w:r>
      </w:hyperlink>
    </w:p>
    <w:p>
      <w:pPr>
        <w:pStyle w:val="Normal"/>
        <w:numPr>
          <w:ilvl w:val="2"/>
          <w:numId w:val="11"/>
        </w:numPr>
        <w:rPr/>
      </w:pPr>
      <w:hyperlink w:anchor="scroll-bookmark-38">
        <w:r>
          <w:rPr>
            <w:rStyle w:val="EnlacedeInternet"/>
          </w:rPr>
          <w:t>3.3.4. Development Environment</w:t>
        </w:r>
      </w:hyperlink>
    </w:p>
    <w:p>
      <w:pPr>
        <w:pStyle w:val="Normal"/>
        <w:numPr>
          <w:ilvl w:val="2"/>
          <w:numId w:val="11"/>
        </w:numPr>
        <w:rPr/>
      </w:pPr>
      <w:hyperlink w:anchor="scroll-bookmark-39">
        <w:r>
          <w:rPr>
            <w:rStyle w:val="EnlacedeInternet"/>
          </w:rPr>
          <w:t>3.3.5. General Network Diagram</w:t>
        </w:r>
      </w:hyperlink>
    </w:p>
    <w:p>
      <w:pPr>
        <w:pStyle w:val="Normal"/>
        <w:numPr>
          <w:ilvl w:val="0"/>
          <w:numId w:val="2"/>
        </w:numPr>
        <w:rPr/>
      </w:pPr>
      <w:hyperlink w:anchor="scroll-bookmark-40">
        <w:r>
          <w:rPr>
            <w:rStyle w:val="EnlacedeInternet"/>
          </w:rPr>
          <w:t>4. Country Specific Information</w:t>
        </w:r>
      </w:hyperlink>
    </w:p>
    <w:p>
      <w:pPr>
        <w:pStyle w:val="Normal"/>
        <w:numPr>
          <w:ilvl w:val="1"/>
          <w:numId w:val="12"/>
        </w:numPr>
        <w:rPr/>
      </w:pPr>
      <w:hyperlink w:anchor="scroll-bookmark-41">
        <w:r>
          <w:rPr>
            <w:rStyle w:val="EnlacedeInternet"/>
          </w:rPr>
          <w:t>4.1. Local Regulatory Requirements</w:t>
        </w:r>
      </w:hyperlink>
    </w:p>
    <w:p>
      <w:pPr>
        <w:pStyle w:val="Normal"/>
        <w:numPr>
          <w:ilvl w:val="1"/>
          <w:numId w:val="12"/>
        </w:numPr>
        <w:rPr/>
      </w:pPr>
      <w:hyperlink w:anchor="scroll-bookmark-42">
        <w:r>
          <w:rPr>
            <w:rStyle w:val="EnlacedeInternet"/>
          </w:rPr>
          <w:t>4.2. Language Requirements</w:t>
        </w:r>
      </w:hyperlink>
    </w:p>
    <w:p>
      <w:pPr>
        <w:pStyle w:val="Normal"/>
        <w:numPr>
          <w:ilvl w:val="1"/>
          <w:numId w:val="12"/>
        </w:numPr>
        <w:rPr/>
      </w:pPr>
      <w:hyperlink w:anchor="scroll-bookmark-43">
        <w:r>
          <w:rPr>
            <w:rStyle w:val="EnlacedeInternet"/>
          </w:rPr>
          <w:t>4.3. User Experience</w:t>
        </w:r>
      </w:hyperlink>
    </w:p>
    <w:p>
      <w:pPr>
        <w:pStyle w:val="Normal"/>
        <w:numPr>
          <w:ilvl w:val="1"/>
          <w:numId w:val="12"/>
        </w:numPr>
        <w:rPr/>
      </w:pPr>
      <w:hyperlink w:anchor="scroll-bookmark-44">
        <w:r>
          <w:rPr>
            <w:rStyle w:val="EnlacedeInternet"/>
          </w:rPr>
          <w:t>4.4. Service Assurance Handover Specifics</w:t>
        </w:r>
      </w:hyperlink>
    </w:p>
    <w:p>
      <w:pPr>
        <w:pStyle w:val="Normal"/>
        <w:numPr>
          <w:ilvl w:val="0"/>
          <w:numId w:val="2"/>
        </w:numPr>
        <w:rPr/>
      </w:pPr>
      <w:hyperlink w:anchor="scroll-bookmark-45">
        <w:r>
          <w:rPr>
            <w:rStyle w:val="EnlacedeInternet"/>
          </w:rPr>
          <w:t>5. Strategic Quality Specifications</w:t>
        </w:r>
      </w:hyperlink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0"/>
        </w:numPr>
        <w:ind w:left="0" w:right="0" w:hanging="0"/>
        <w:rPr/>
      </w:pPr>
      <w:bookmarkStart w:id="5" w:name="scroll-bookmark-2"/>
      <w:r>
        <w:rPr/>
        <w:t>Version Control</w:t>
      </w:r>
      <w:bookmarkEnd w:id="5"/>
    </w:p>
    <w:tbl>
      <w:tblPr>
        <w:tblW w:w="5000" w:type="pct"/>
        <w:jc w:val="left"/>
        <w:tblInd w:w="0" w:type="dxa"/>
        <w:tblLayout w:type="fixed"/>
        <w:tblCellMar>
          <w:top w:w="30" w:type="dxa"/>
          <w:left w:w="30" w:type="dxa"/>
          <w:bottom w:w="20" w:type="dxa"/>
          <w:right w:w="30" w:type="dxa"/>
        </w:tblCellMar>
      </w:tblPr>
      <w:tblGrid>
        <w:gridCol w:w="1062"/>
        <w:gridCol w:w="796"/>
        <w:gridCol w:w="4973"/>
        <w:gridCol w:w="1673"/>
      </w:tblGrid>
      <w:tr>
        <w:trPr>
          <w:tblHeader w:val="true"/>
        </w:trPr>
        <w:tc>
          <w:tcPr>
            <w:tcW w:w="106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Date</w:t>
            </w:r>
          </w:p>
        </w:tc>
        <w:tc>
          <w:tcPr>
            <w:tcW w:w="79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Version</w:t>
            </w:r>
          </w:p>
        </w:tc>
        <w:tc>
          <w:tcPr>
            <w:tcW w:w="49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Description</w:t>
            </w:r>
          </w:p>
        </w:tc>
        <w:tc>
          <w:tcPr>
            <w:tcW w:w="16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Autor</w:t>
            </w:r>
          </w:p>
        </w:tc>
      </w:tr>
      <w:tr>
        <w:trPr/>
        <w:tc>
          <w:tcPr>
            <w:tcW w:w="106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10/09/2022</w:t>
            </w:r>
          </w:p>
        </w:tc>
        <w:tc>
          <w:tcPr>
            <w:tcW w:w="79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color w:val="1F497D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color w:val="1F497D"/>
                <w:kern w:val="0"/>
                <w:sz w:val="20"/>
                <w:szCs w:val="24"/>
                <w:lang w:eastAsia="en-US" w:bidi="ar-SA"/>
              </w:rPr>
              <w:t>1.0</w:t>
            </w:r>
          </w:p>
        </w:tc>
        <w:tc>
          <w:tcPr>
            <w:tcW w:w="49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API para crear comprobante CNV y API para asociar comodato a una cuenta.</w:t>
            </w:r>
          </w:p>
        </w:tc>
        <w:tc>
          <w:tcPr>
            <w:tcW w:w="16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Hugo Luis Silva Sierra</w:t>
            </w:r>
          </w:p>
        </w:tc>
      </w:tr>
      <w:tr>
        <w:trPr/>
        <w:tc>
          <w:tcPr>
            <w:tcW w:w="106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12/09/2022</w:t>
            </w:r>
          </w:p>
        </w:tc>
        <w:tc>
          <w:tcPr>
            <w:tcW w:w="79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1.1</w:t>
            </w:r>
          </w:p>
        </w:tc>
        <w:tc>
          <w:tcPr>
            <w:tcW w:w="49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Revisión de Marco Peña.</w:t>
            </w:r>
          </w:p>
        </w:tc>
        <w:tc>
          <w:tcPr>
            <w:tcW w:w="16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Marco Peña</w:t>
            </w:r>
          </w:p>
        </w:tc>
      </w:tr>
      <w:tr>
        <w:trPr/>
        <w:tc>
          <w:tcPr>
            <w:tcW w:w="106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28/09/2022</w:t>
            </w:r>
          </w:p>
        </w:tc>
        <w:tc>
          <w:tcPr>
            <w:tcW w:w="79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1.2</w:t>
            </w:r>
          </w:p>
        </w:tc>
        <w:tc>
          <w:tcPr>
            <w:tcW w:w="49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Se completan las imágenes de las pantallas de asociación de comodato.</w:t>
            </w:r>
          </w:p>
        </w:tc>
        <w:tc>
          <w:tcPr>
            <w:tcW w:w="16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Hugo Silva</w:t>
            </w:r>
          </w:p>
        </w:tc>
      </w:tr>
      <w:tr>
        <w:trPr/>
        <w:tc>
          <w:tcPr>
            <w:tcW w:w="106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23/11/2022</w:t>
            </w:r>
          </w:p>
        </w:tc>
        <w:tc>
          <w:tcPr>
            <w:tcW w:w="79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1.3</w:t>
            </w:r>
          </w:p>
        </w:tc>
        <w:tc>
          <w:tcPr>
            <w:tcW w:w="49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Se colocan las firmas estándar para cada API.</w:t>
            </w:r>
          </w:p>
        </w:tc>
        <w:tc>
          <w:tcPr>
            <w:tcW w:w="16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Hugo Silva</w:t>
            </w:r>
          </w:p>
        </w:tc>
      </w:tr>
      <w:tr>
        <w:trPr/>
        <w:tc>
          <w:tcPr>
            <w:tcW w:w="106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25/11/2022</w:t>
            </w:r>
          </w:p>
        </w:tc>
        <w:tc>
          <w:tcPr>
            <w:tcW w:w="79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1.4</w:t>
            </w:r>
          </w:p>
        </w:tc>
        <w:tc>
          <w:tcPr>
            <w:tcW w:w="49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 xml:space="preserve">Se agregó el valor del comprobante a la entrada de la API asociar comodato. </w:t>
            </w:r>
            <w:bookmarkStart w:id="6" w:name="_GoBack"/>
            <w:bookmarkEnd w:id="6"/>
          </w:p>
        </w:tc>
        <w:tc>
          <w:tcPr>
            <w:tcW w:w="167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Michael Rodriguez</w:t>
            </w:r>
          </w:p>
        </w:tc>
      </w:tr>
    </w:tbl>
    <w:p>
      <w:pPr>
        <w:pStyle w:val="Ttulo1"/>
        <w:numPr>
          <w:ilvl w:val="0"/>
          <w:numId w:val="0"/>
        </w:numPr>
        <w:ind w:left="0" w:right="0" w:hanging="0"/>
        <w:rPr/>
      </w:pPr>
      <w:bookmarkStart w:id="7" w:name="scroll-bookmark-3"/>
      <w:r>
        <w:rPr/>
        <w:t>Approval History</w:t>
      </w:r>
      <w:bookmarkEnd w:id="7"/>
    </w:p>
    <w:tbl>
      <w:tblPr>
        <w:tblW w:w="5000" w:type="pct"/>
        <w:jc w:val="left"/>
        <w:tblInd w:w="0" w:type="dxa"/>
        <w:tblLayout w:type="fixed"/>
        <w:tblCellMar>
          <w:top w:w="30" w:type="dxa"/>
          <w:left w:w="30" w:type="dxa"/>
          <w:bottom w:w="20" w:type="dxa"/>
          <w:right w:w="30" w:type="dxa"/>
        </w:tblCellMar>
      </w:tblPr>
      <w:tblGrid>
        <w:gridCol w:w="932"/>
        <w:gridCol w:w="1313"/>
        <w:gridCol w:w="739"/>
        <w:gridCol w:w="1600"/>
        <w:gridCol w:w="2346"/>
        <w:gridCol w:w="1574"/>
      </w:tblGrid>
      <w:tr>
        <w:trPr>
          <w:tblHeader w:val="true"/>
        </w:trPr>
        <w:tc>
          <w:tcPr>
            <w:tcW w:w="93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Version</w:t>
            </w:r>
          </w:p>
        </w:tc>
        <w:tc>
          <w:tcPr>
            <w:tcW w:w="131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Revised by</w:t>
            </w:r>
          </w:p>
        </w:tc>
        <w:tc>
          <w:tcPr>
            <w:tcW w:w="73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Role</w:t>
            </w:r>
          </w:p>
        </w:tc>
        <w:tc>
          <w:tcPr>
            <w:tcW w:w="160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Date</w:t>
            </w:r>
          </w:p>
        </w:tc>
        <w:tc>
          <w:tcPr>
            <w:tcW w:w="234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Approved/Rejected</w:t>
            </w:r>
          </w:p>
        </w:tc>
        <w:tc>
          <w:tcPr>
            <w:tcW w:w="1574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Observations</w:t>
            </w:r>
          </w:p>
        </w:tc>
      </w:tr>
      <w:tr>
        <w:trPr/>
        <w:tc>
          <w:tcPr>
            <w:tcW w:w="93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color w:val="1F497D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color w:val="1F497D"/>
                <w:kern w:val="0"/>
                <w:sz w:val="20"/>
                <w:szCs w:val="24"/>
                <w:lang w:eastAsia="en-US" w:bidi="ar-SA"/>
              </w:rPr>
              <w:t>&lt;x.y&gt;</w:t>
            </w:r>
          </w:p>
        </w:tc>
        <w:tc>
          <w:tcPr>
            <w:tcW w:w="131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&lt;name&gt;</w:t>
            </w:r>
          </w:p>
        </w:tc>
        <w:tc>
          <w:tcPr>
            <w:tcW w:w="73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&lt;role&gt;</w:t>
            </w:r>
          </w:p>
        </w:tc>
        <w:tc>
          <w:tcPr>
            <w:tcW w:w="160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&lt;dd/mm/yyyy&gt;</w:t>
            </w:r>
          </w:p>
        </w:tc>
        <w:tc>
          <w:tcPr>
            <w:tcW w:w="234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&lt;Approved/Rejected&gt;</w:t>
            </w:r>
          </w:p>
        </w:tc>
        <w:tc>
          <w:tcPr>
            <w:tcW w:w="1574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&lt;comments&gt;</w:t>
            </w:r>
          </w:p>
        </w:tc>
      </w:tr>
      <w:tr>
        <w:trPr/>
        <w:tc>
          <w:tcPr>
            <w:tcW w:w="93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131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73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1600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234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1574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</w:tr>
    </w:tbl>
    <w:p>
      <w:pPr>
        <w:pStyle w:val="Ttulo1"/>
        <w:numPr>
          <w:ilvl w:val="0"/>
          <w:numId w:val="0"/>
        </w:numPr>
        <w:ind w:left="0" w:right="0" w:hanging="0"/>
        <w:rPr/>
      </w:pPr>
      <w:bookmarkStart w:id="8" w:name="scroll-bookmark-4"/>
      <w:r>
        <w:rPr/>
        <w:t>Software Architecture</w:t>
      </w:r>
      <w:bookmarkEnd w:id="8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1"/>
        <w:numPr>
          <w:ilvl w:val="0"/>
          <w:numId w:val="0"/>
        </w:numPr>
        <w:ind w:left="0" w:right="0" w:hanging="0"/>
        <w:rPr/>
      </w:pPr>
      <w:bookmarkStart w:id="9" w:name="scroll-bookmark-5"/>
      <w:r>
        <w:rPr/>
        <w:t>1. SOLUTION DESCRIPTION</w:t>
      </w:r>
      <w:bookmarkEnd w:id="9"/>
    </w:p>
    <w:p>
      <w:pPr>
        <w:pStyle w:val="Ttulo2"/>
        <w:numPr>
          <w:ilvl w:val="0"/>
          <w:numId w:val="0"/>
        </w:numPr>
        <w:ind w:left="0" w:right="0" w:hanging="0"/>
        <w:rPr/>
      </w:pPr>
      <w:bookmarkStart w:id="10" w:name="_Toc102512517"/>
      <w:bookmarkStart w:id="11" w:name="scroll-bookmark-6"/>
      <w:r>
        <w:rPr/>
        <w:t>1.1. Management Summary</w:t>
      </w:r>
      <w:bookmarkEnd w:id="10"/>
      <w:bookmarkEnd w:id="11"/>
    </w:p>
    <w:p>
      <w:pPr>
        <w:pStyle w:val="Normal"/>
        <w:rPr/>
      </w:pPr>
      <w:r>
        <w:rPr/>
        <w:t>El presente BPL3 corresponde al diseño de 2 APIs: una API para crear comprobante CNV, en la que el resultado es el identificador del comprobante CNV creado (además de otros datos) y una segunda API para cambiar la situación del comodato del cliente, en la que el resultado es una confirmación de la operación de asociación del comodato.</w:t>
      </w:r>
    </w:p>
    <w:p>
      <w:pPr>
        <w:pStyle w:val="Ttulo2"/>
        <w:numPr>
          <w:ilvl w:val="0"/>
          <w:numId w:val="0"/>
        </w:numPr>
        <w:ind w:left="0" w:right="0" w:hanging="0"/>
        <w:rPr/>
      </w:pPr>
      <w:bookmarkStart w:id="12" w:name="_Toc102512518"/>
      <w:bookmarkStart w:id="13" w:name="scroll-bookmark-7"/>
      <w:r>
        <w:rPr/>
        <w:t>1.2. Glossary</w:t>
      </w:r>
      <w:bookmarkEnd w:id="12"/>
      <w:bookmarkEnd w:id="13"/>
    </w:p>
    <w:tbl>
      <w:tblPr>
        <w:tblW w:w="5000" w:type="pct"/>
        <w:jc w:val="left"/>
        <w:tblInd w:w="0" w:type="dxa"/>
        <w:tblLayout w:type="fixed"/>
        <w:tblCellMar>
          <w:top w:w="30" w:type="dxa"/>
          <w:left w:w="30" w:type="dxa"/>
          <w:bottom w:w="20" w:type="dxa"/>
          <w:right w:w="30" w:type="dxa"/>
        </w:tblCellMar>
      </w:tblPr>
      <w:tblGrid>
        <w:gridCol w:w="1756"/>
        <w:gridCol w:w="6748"/>
      </w:tblGrid>
      <w:tr>
        <w:trPr>
          <w:tblHeader w:val="true"/>
        </w:trPr>
        <w:tc>
          <w:tcPr>
            <w:tcW w:w="175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172B4D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172B4D"/>
                <w:kern w:val="0"/>
                <w:sz w:val="20"/>
                <w:szCs w:val="24"/>
                <w:lang w:eastAsia="en-US" w:bidi="ar-SA"/>
              </w:rPr>
              <w:t>Term</w:t>
            </w:r>
          </w:p>
        </w:tc>
        <w:tc>
          <w:tcPr>
            <w:tcW w:w="674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172B4D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172B4D"/>
                <w:kern w:val="0"/>
                <w:sz w:val="20"/>
                <w:szCs w:val="24"/>
                <w:lang w:eastAsia="en-US" w:bidi="ar-SA"/>
              </w:rPr>
              <w:t>Definition</w:t>
            </w:r>
          </w:p>
        </w:tc>
      </w:tr>
      <w:tr>
        <w:trPr/>
        <w:tc>
          <w:tcPr>
            <w:tcW w:w="175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color w:val="003263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color w:val="003263"/>
                <w:kern w:val="0"/>
                <w:sz w:val="20"/>
                <w:szCs w:val="24"/>
                <w:lang w:eastAsia="en-US" w:bidi="ar-SA"/>
              </w:rPr>
              <w:t>Comprobante CNV</w:t>
            </w:r>
          </w:p>
        </w:tc>
        <w:tc>
          <w:tcPr>
            <w:tcW w:w="674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Documento en el que se reserva el equipo al cliente y lo habilita para que pueda pagarlo.</w:t>
            </w:r>
          </w:p>
        </w:tc>
      </w:tr>
      <w:tr>
        <w:trPr/>
        <w:tc>
          <w:tcPr>
            <w:tcW w:w="1756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color w:val="003263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color w:val="003263"/>
                <w:kern w:val="0"/>
                <w:sz w:val="20"/>
                <w:szCs w:val="24"/>
                <w:lang w:eastAsia="en-US" w:bidi="ar-SA"/>
              </w:rPr>
              <w:t>Comodato</w:t>
            </w:r>
          </w:p>
        </w:tc>
        <w:tc>
          <w:tcPr>
            <w:tcW w:w="674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Equipo mobile del cliente.</w:t>
            </w:r>
          </w:p>
        </w:tc>
      </w:tr>
    </w:tbl>
    <w:p>
      <w:pPr>
        <w:pStyle w:val="Ttulo2"/>
        <w:numPr>
          <w:ilvl w:val="0"/>
          <w:numId w:val="0"/>
        </w:numPr>
        <w:ind w:left="0" w:right="0" w:hanging="0"/>
        <w:rPr/>
      </w:pPr>
      <w:bookmarkStart w:id="14" w:name="_Toc102512519"/>
      <w:bookmarkStart w:id="15" w:name="scroll-bookmark-8"/>
      <w:r>
        <w:rPr/>
        <w:t>1.3. Architecture goals and restrictions</w:t>
      </w:r>
      <w:bookmarkEnd w:id="14"/>
      <w:bookmarkEnd w:id="15"/>
    </w:p>
    <w:p>
      <w:pPr>
        <w:pStyle w:val="Normal"/>
        <w:rPr/>
      </w:pPr>
      <w:r>
        <w:rPr/>
        <w:t>La meta principal del análisis de la arquitectura es mostrar aspectos principales que influyen en la etapa de desarrollo</w:t>
      </w:r>
    </w:p>
    <w:p>
      <w:pPr>
        <w:pStyle w:val="Normal"/>
        <w:rPr/>
      </w:pPr>
      <w:r>
        <w:rPr/>
      </w:r>
    </w:p>
    <w:p>
      <w:pPr>
        <w:pStyle w:val="Normal"/>
        <w:ind w:left="284" w:right="0" w:hanging="0"/>
        <w:rPr/>
      </w:pPr>
      <w:r>
        <w:rPr/>
        <w:t>●</w:t>
      </w:r>
      <w:r>
        <w:rPr/>
        <w:tab/>
        <w:t>Metas</w:t>
      </w:r>
    </w:p>
    <w:p>
      <w:pPr>
        <w:pStyle w:val="Normal"/>
        <w:ind w:left="568" w:right="0" w:hanging="0"/>
        <w:rPr/>
      </w:pPr>
      <w:r>
        <w:rPr/>
        <w:t>-</w:t>
        <w:tab/>
        <w:t>Tomar en cuenta las buenas prácticas de desarrollo para codificación java, y las buenas prácticas de consultas SQL.</w:t>
      </w:r>
    </w:p>
    <w:p>
      <w:pPr>
        <w:pStyle w:val="Normal"/>
        <w:ind w:left="568" w:right="0" w:hanging="0"/>
        <w:rPr/>
      </w:pPr>
      <w:r>
        <w:rPr/>
        <w:t>-</w:t>
        <w:tab/>
        <w:t xml:space="preserve">Se debe asegurar el buen manejo de las conexiones hacia a la base de datos, es decir asegurar que se cierren las conexiones. </w:t>
      </w:r>
    </w:p>
    <w:p>
      <w:pPr>
        <w:pStyle w:val="Normal"/>
        <w:ind w:left="568" w:right="0" w:hanging="0"/>
        <w:rPr/>
      </w:pPr>
      <w:r>
        <w:rPr/>
        <w:t>-</w:t>
        <w:tab/>
        <w:t>Las pruebas, capacitación, manuales deben ser documentados y versionados.</w:t>
      </w:r>
    </w:p>
    <w:p>
      <w:pPr>
        <w:pStyle w:val="Normal"/>
        <w:rPr/>
      </w:pPr>
      <w:r>
        <w:rPr/>
      </w:r>
    </w:p>
    <w:p>
      <w:pPr>
        <w:pStyle w:val="Normal"/>
        <w:ind w:left="284" w:right="0" w:hanging="0"/>
        <w:rPr/>
      </w:pPr>
      <w:r>
        <w:rPr/>
        <w:t>●</w:t>
      </w:r>
      <w:r>
        <w:rPr/>
        <w:tab/>
        <w:t>Restricciones</w:t>
      </w:r>
    </w:p>
    <w:p>
      <w:pPr>
        <w:pStyle w:val="Normal"/>
        <w:ind w:left="568" w:right="0" w:hanging="0"/>
        <w:rPr/>
      </w:pPr>
      <w:r>
        <w:rPr/>
        <w:t>- Debe poder se expuesto sobre JFuse.</w:t>
        <w:tab/>
      </w:r>
    </w:p>
    <w:p>
      <w:pPr>
        <w:pStyle w:val="Normal"/>
        <w:ind w:left="568" w:right="0" w:hanging="0"/>
        <w:rPr/>
      </w:pPr>
      <w:r>
        <w:rPr/>
        <w:t>- El adaptador debe ser construido con tecnología API Rest.</w:t>
      </w:r>
    </w:p>
    <w:p>
      <w:pPr>
        <w:pStyle w:val="Normal"/>
        <w:ind w:left="568" w:right="0" w:hanging="0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16" w:name="_Toc102512520"/>
      <w:bookmarkStart w:id="17" w:name="scroll-bookmark-9"/>
      <w:r>
        <w:rPr/>
        <w:t>1.3.1 Aplicabilidad de Desarrollo Seguro de software.</w:t>
      </w:r>
      <w:bookmarkEnd w:id="16"/>
      <w:bookmarkEnd w:id="17"/>
    </w:p>
    <w:tbl>
      <w:tblPr>
        <w:tblW w:w="5000" w:type="pct"/>
        <w:jc w:val="left"/>
        <w:tblInd w:w="0" w:type="dxa"/>
        <w:tblLayout w:type="fixed"/>
        <w:tblCellMar>
          <w:top w:w="30" w:type="dxa"/>
          <w:left w:w="30" w:type="dxa"/>
          <w:bottom w:w="20" w:type="dxa"/>
          <w:right w:w="30" w:type="dxa"/>
        </w:tblCellMar>
      </w:tblPr>
      <w:tblGrid>
        <w:gridCol w:w="7948"/>
        <w:gridCol w:w="239"/>
        <w:gridCol w:w="317"/>
      </w:tblGrid>
      <w:tr>
        <w:trPr>
          <w:tblHeader w:val="true"/>
        </w:trPr>
        <w:tc>
          <w:tcPr>
            <w:tcW w:w="794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23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Si</w:t>
            </w:r>
          </w:p>
        </w:tc>
        <w:tc>
          <w:tcPr>
            <w:tcW w:w="31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No</w:t>
            </w:r>
          </w:p>
        </w:tc>
      </w:tr>
      <w:tr>
        <w:trPr/>
        <w:tc>
          <w:tcPr>
            <w:tcW w:w="794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Aplicación de cara a internet</w:t>
            </w:r>
          </w:p>
        </w:tc>
        <w:tc>
          <w:tcPr>
            <w:tcW w:w="23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31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X</w:t>
            </w:r>
          </w:p>
        </w:tc>
      </w:tr>
      <w:tr>
        <w:trPr/>
        <w:tc>
          <w:tcPr>
            <w:tcW w:w="794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Aplicación de cara a clientes finales.</w:t>
            </w:r>
          </w:p>
        </w:tc>
        <w:tc>
          <w:tcPr>
            <w:tcW w:w="23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31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X</w:t>
            </w:r>
          </w:p>
        </w:tc>
      </w:tr>
      <w:tr>
        <w:trPr/>
        <w:tc>
          <w:tcPr>
            <w:tcW w:w="794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Procesará información de identificación personal (PII)</w:t>
            </w:r>
          </w:p>
        </w:tc>
        <w:tc>
          <w:tcPr>
            <w:tcW w:w="23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31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X</w:t>
            </w:r>
          </w:p>
        </w:tc>
      </w:tr>
      <w:tr>
        <w:trPr/>
        <w:tc>
          <w:tcPr>
            <w:tcW w:w="794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Procesará información de autenticación</w:t>
            </w:r>
          </w:p>
        </w:tc>
        <w:tc>
          <w:tcPr>
            <w:tcW w:w="23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31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X</w:t>
            </w:r>
          </w:p>
        </w:tc>
      </w:tr>
      <w:tr>
        <w:trPr/>
        <w:tc>
          <w:tcPr>
            <w:tcW w:w="7948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procesará otra información de carácter confidencial (Ej. Financiera, Información médica, otras)</w:t>
            </w:r>
          </w:p>
        </w:tc>
        <w:tc>
          <w:tcPr>
            <w:tcW w:w="23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31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center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X</w:t>
            </w:r>
          </w:p>
        </w:tc>
      </w:tr>
    </w:tbl>
    <w:p>
      <w:pPr>
        <w:pStyle w:val="Ttulo3"/>
        <w:numPr>
          <w:ilvl w:val="0"/>
          <w:numId w:val="0"/>
        </w:numPr>
        <w:ind w:left="0" w:right="0" w:hanging="0"/>
        <w:rPr/>
      </w:pPr>
      <w:bookmarkStart w:id="18" w:name="_Toc102512521"/>
      <w:bookmarkStart w:id="19" w:name="scroll-bookmark-10"/>
      <w:r>
        <w:rPr/>
        <w:t>1.3.2 Vulnerabilidad conocida en versiones anteriores.</w:t>
      </w:r>
      <w:bookmarkEnd w:id="18"/>
      <w:bookmarkEnd w:id="19"/>
    </w:p>
    <w:tbl>
      <w:tblPr>
        <w:tblW w:w="5000" w:type="pct"/>
        <w:jc w:val="left"/>
        <w:tblInd w:w="0" w:type="dxa"/>
        <w:tblLayout w:type="fixed"/>
        <w:tblCellMar>
          <w:top w:w="30" w:type="dxa"/>
          <w:left w:w="30" w:type="dxa"/>
          <w:bottom w:w="20" w:type="dxa"/>
          <w:right w:w="30" w:type="dxa"/>
        </w:tblCellMar>
      </w:tblPr>
      <w:tblGrid>
        <w:gridCol w:w="4182"/>
        <w:gridCol w:w="1187"/>
        <w:gridCol w:w="3135"/>
      </w:tblGrid>
      <w:tr>
        <w:trPr>
          <w:tblHeader w:val="true"/>
        </w:trPr>
        <w:tc>
          <w:tcPr>
            <w:tcW w:w="418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Vulnerabilidades conocidas</w:t>
            </w:r>
          </w:p>
        </w:tc>
        <w:tc>
          <w:tcPr>
            <w:tcW w:w="118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Criticidad</w:t>
            </w:r>
          </w:p>
        </w:tc>
        <w:tc>
          <w:tcPr>
            <w:tcW w:w="3135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Acciones de remodelación</w:t>
            </w:r>
          </w:p>
        </w:tc>
      </w:tr>
      <w:tr>
        <w:trPr/>
        <w:tc>
          <w:tcPr>
            <w:tcW w:w="418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No existen vulnerabilidades conocidas</w:t>
            </w:r>
          </w:p>
        </w:tc>
        <w:tc>
          <w:tcPr>
            <w:tcW w:w="118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3135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</w:tr>
      <w:tr>
        <w:trPr/>
        <w:tc>
          <w:tcPr>
            <w:tcW w:w="418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118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3135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</w:tr>
      <w:tr>
        <w:trPr/>
        <w:tc>
          <w:tcPr>
            <w:tcW w:w="418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1187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3135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</w:tr>
    </w:tbl>
    <w:p>
      <w:pPr>
        <w:pStyle w:val="Ttulo2"/>
        <w:numPr>
          <w:ilvl w:val="0"/>
          <w:numId w:val="0"/>
        </w:numPr>
        <w:ind w:left="0" w:right="0" w:hanging="0"/>
        <w:rPr/>
      </w:pPr>
      <w:bookmarkStart w:id="20" w:name="_Toc102512522"/>
      <w:bookmarkStart w:id="21" w:name="scroll-bookmark-11"/>
      <w:r>
        <w:rPr/>
        <w:t>1.4. System Requirements View</w:t>
      </w:r>
      <w:bookmarkEnd w:id="20"/>
      <w:bookmarkEnd w:id="21"/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22" w:name="_Toc102512523"/>
      <w:bookmarkStart w:id="23" w:name="scroll-bookmark-12"/>
      <w:r>
        <w:rPr/>
        <w:t>1.4.1. Use Cases</w:t>
      </w:r>
      <w:bookmarkEnd w:id="22"/>
      <w:bookmarkEnd w:id="23"/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24" w:name="_Toc102512524"/>
      <w:bookmarkStart w:id="25" w:name="scroll-bookmark-13"/>
      <w:r>
        <w:rPr/>
        <w:t>1.4.2. Use Case Diagram</w:t>
      </w:r>
      <w:bookmarkEnd w:id="24"/>
      <w:bookmarkEnd w:id="25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419600" cy="2011680"/>
            <wp:effectExtent l="0" t="0" r="0" b="0"/>
            <wp:docPr id="1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26" w:name="_Toc102512525"/>
      <w:bookmarkStart w:id="27" w:name="scroll-bookmark-14"/>
      <w:r>
        <w:rPr/>
        <w:t>1.4.3. Components Sequential Flow</w:t>
      </w:r>
      <w:bookmarkEnd w:id="26"/>
      <w:bookmarkEnd w:id="27"/>
    </w:p>
    <w:p>
      <w:pPr>
        <w:pStyle w:val="Normal"/>
        <w:rPr/>
      </w:pPr>
      <w:r>
        <w:rPr/>
      </w:r>
    </w:p>
    <w:tbl>
      <w:tblPr>
        <w:tblW w:w="5000" w:type="pct"/>
        <w:jc w:val="left"/>
        <w:tblInd w:w="-289" w:type="dxa"/>
        <w:tblLayout w:type="fixed"/>
        <w:tblCellMar>
          <w:top w:w="30" w:type="dxa"/>
          <w:left w:w="30" w:type="dxa"/>
          <w:bottom w:w="20" w:type="dxa"/>
          <w:right w:w="30" w:type="dxa"/>
        </w:tblCellMar>
      </w:tblPr>
      <w:tblGrid>
        <w:gridCol w:w="1023"/>
        <w:gridCol w:w="6809"/>
        <w:gridCol w:w="672"/>
      </w:tblGrid>
      <w:tr>
        <w:trPr>
          <w:tblHeader w:val="true"/>
        </w:trPr>
        <w:tc>
          <w:tcPr>
            <w:tcW w:w="102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000000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000000"/>
                <w:kern w:val="0"/>
                <w:sz w:val="20"/>
                <w:szCs w:val="24"/>
                <w:lang w:eastAsia="en-US" w:bidi="ar-SA"/>
              </w:rPr>
              <w:t>Use Case Name</w:t>
            </w:r>
          </w:p>
        </w:tc>
        <w:tc>
          <w:tcPr>
            <w:tcW w:w="680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Functionality Description</w:t>
            </w:r>
          </w:p>
        </w:tc>
        <w:tc>
          <w:tcPr>
            <w:tcW w:w="67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Use Case Confluence Route</w:t>
            </w:r>
          </w:p>
        </w:tc>
      </w:tr>
      <w:tr>
        <w:trPr/>
        <w:tc>
          <w:tcPr>
            <w:tcW w:w="102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color w:val="003263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color w:val="003263"/>
                <w:kern w:val="0"/>
                <w:sz w:val="20"/>
                <w:szCs w:val="24"/>
                <w:lang w:eastAsia="en-US" w:bidi="ar-SA"/>
              </w:rPr>
              <w:t>API Crear Comprobane CNV.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color w:val="003263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color w:val="003263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color w:val="003263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color w:val="003263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680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Este caso de uso describe el funcionamiento de una API, la cual permite crear un comprobante CNV, en base a los datos del cliente. El resultado describe los datos relevantes del comprobante creado.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Verbo: POST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val="en-US"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val="en-US" w:eastAsia="en-US" w:bidi="ar-SA"/>
              </w:rPr>
              <w:t>URL: /v1/tigo/bo/generate-invoice-cnv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val="en-US"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val="en-US" w:eastAsia="en-US" w:bidi="ar-SA"/>
              </w:rPr>
              <w:t>Body: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"requestedStartDate"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"2022-11-16T13:22:32.870Z"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"isMandatory"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b/>
                <w:bCs/>
                <w:color w:val="18AF8A"/>
                <w:kern w:val="0"/>
                <w:sz w:val="18"/>
                <w:szCs w:val="18"/>
                <w:lang w:val="en-US" w:eastAsia="es" w:bidi="ar-SA"/>
              </w:rPr>
              <w:t>true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"channel"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"BCCS"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"characteristic"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"codigoBodega"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"154"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"numeroDocumento"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"6254665"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"tipoDocumento"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"CI"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"cliente"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"1500416"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"msisdn"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"75002636"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"numeroContrato"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"9492242"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"usuario"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"ECOMMERCE"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"tipoVenta"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"POSTPAGO"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"motivoRegistracion"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"COR"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"subTipoCuenta"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"GSM"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"identificadorIndividual"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"373725698215873"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"codigoDescuento"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"7537"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"precioOriginal"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"decimal"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"170"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"montoDescuento"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"decimal"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"169.28"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"codigoMoneda"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"DOL"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"relatedEntity"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"id"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"71100690256_355513316959181"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"href"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FF"/>
                <w:kern w:val="0"/>
                <w:sz w:val="18"/>
                <w:szCs w:val="18"/>
                <w:lang w:val="en-US" w:eastAsia="es" w:bidi="ar-SA"/>
              </w:rPr>
              <w:t>http://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{host}/api/v1/devices/?stockId={stockId}&amp;sku={sku}"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"API getDevice info"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"role"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"device"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FF0000"/>
                <w:kern w:val="0"/>
                <w:sz w:val="18"/>
                <w:szCs w:val="18"/>
                <w:lang w:val="en-US" w:eastAsia="es" w:bidi="ar-SA"/>
              </w:rPr>
              <w:t>@type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"RelatedEntity"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FF0000"/>
                <w:kern w:val="0"/>
                <w:sz w:val="18"/>
                <w:szCs w:val="18"/>
                <w:lang w:val="en-US" w:eastAsia="es" w:bidi="ar-SA"/>
              </w:rPr>
              <w:t>@type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"TaskFlow"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"@baseType"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"TaskFlow"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}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Descripción de los campos de entrada:</w:t>
            </w:r>
          </w:p>
          <w:tbl>
            <w:tblPr>
              <w:tblW w:w="6956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18"/>
              <w:gridCol w:w="2319"/>
              <w:gridCol w:w="2319"/>
            </w:tblGrid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i/>
                      <w:i/>
                      <w:iCs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i/>
                      <w:iCs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</w:tbl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val="en-US"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val="en-US" w:eastAsia="en-US" w:bidi="ar-SA"/>
              </w:rPr>
              <w:t>Response Caso satisfactorio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val="en-US"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val="en-US" w:eastAsia="en-US" w:bidi="ar-SA"/>
              </w:rPr>
              <w:t>Response: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"completionDate"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"2022-11-16T13:22:32.870Z"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"completionMethod"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"automatic"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"isMandatory"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b/>
                <w:bCs/>
                <w:color w:val="18AF8A"/>
                <w:kern w:val="0"/>
                <w:sz w:val="18"/>
                <w:szCs w:val="18"/>
                <w:lang w:val="en-US" w:eastAsia="es" w:bidi="ar-SA"/>
              </w:rPr>
              <w:t>true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"state"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"completed"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,  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"channel"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"BCCS"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"characteristic"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"invoiceType"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"ondemand"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"invoiceId"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"CNV-CC-8905"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"billingPeriod"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"ondemand"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"billingDate"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"decimal"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"2022-07-28"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"invoiceAmount"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"162.66"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"dueAmount"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"162.66"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"currencyId"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"BOL"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"hasPayment"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"boolean"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"false"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"relatedEntity"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"id"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"CNV-CC-8905"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"href"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FF"/>
                <w:kern w:val="0"/>
                <w:sz w:val="18"/>
                <w:szCs w:val="18"/>
                <w:lang w:val="en-US" w:eastAsia="es" w:bidi="ar-SA"/>
              </w:rPr>
              <w:t>https://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{host}/cxf/api/v1/billing/InvoiceHeader/{crmSystem}/{idType}/{id}/invoices?invoiceId=CNV-CC-8905"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"API get Invoice header"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"role"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"invoice"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FF0000"/>
                <w:kern w:val="0"/>
                <w:sz w:val="18"/>
                <w:szCs w:val="18"/>
                <w:lang w:val="en-US" w:eastAsia="es" w:bidi="ar-SA"/>
              </w:rPr>
              <w:t>@type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"RelatedEntity"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FF0000"/>
                <w:kern w:val="0"/>
                <w:sz w:val="18"/>
                <w:szCs w:val="18"/>
                <w:lang w:val="en-US" w:eastAsia="es" w:bidi="ar-SA"/>
              </w:rPr>
              <w:t>@type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"TaskFlow"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eastAsia="es" w:bidi="ar-SA"/>
              </w:rPr>
              <w:t>"@baseType"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eastAsia="es" w:bidi="ar-SA"/>
              </w:rPr>
              <w:t>"TaskFlow"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}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Parámetros de salida:</w:t>
            </w:r>
          </w:p>
          <w:tbl>
            <w:tblPr>
              <w:tblW w:w="6956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18"/>
              <w:gridCol w:w="2319"/>
              <w:gridCol w:w="2319"/>
            </w:tblGrid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i/>
                      <w:i/>
                      <w:iCs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i/>
                      <w:iCs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</w:tbl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Response de Caso fallido.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bookmarkStart w:id="28" w:name="__DdeLink__3995_3701785055"/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eastAsia="es" w:bidi="ar-SA"/>
              </w:rPr>
              <w:t>"errorCode"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FF8000"/>
                <w:kern w:val="0"/>
                <w:sz w:val="18"/>
                <w:szCs w:val="18"/>
                <w:lang w:eastAsia="es" w:bidi="ar-SA"/>
              </w:rPr>
              <w:t>400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eastAsia="es" w:bidi="ar-SA"/>
              </w:rPr>
              <w:t>"errorType"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eastAsia="es" w:bidi="ar-SA"/>
              </w:rPr>
              <w:t>"BadRequest"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eastAsia="es" w:bidi="ar-SA"/>
              </w:rPr>
              <w:t>"code"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eastAsia="es" w:bidi="ar-SA"/>
              </w:rPr>
              <w:t>"400"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eastAsia="es" w:bidi="ar-SA"/>
              </w:rPr>
              <w:t>"errorType"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eastAsia="es" w:bidi="ar-SA"/>
              </w:rPr>
              <w:t>"Error en mensaje de entrada"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bookmarkStart w:id="29" w:name="__DdeLink__3995_3701785055"/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}</w:t>
            </w:r>
            <w:bookmarkEnd w:id="29"/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67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</w:tr>
      <w:tr>
        <w:trPr/>
        <w:tc>
          <w:tcPr>
            <w:tcW w:w="102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color w:val="003263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color w:val="003263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680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Respuestas de la API:</w:t>
            </w:r>
          </w:p>
          <w:tbl>
            <w:tblPr>
              <w:tblW w:w="6594" w:type="dxa"/>
              <w:jc w:val="center"/>
              <w:tblInd w:w="0" w:type="dxa"/>
              <w:tblLayout w:type="fixed"/>
              <w:tblCellMar>
                <w:top w:w="0" w:type="dxa"/>
                <w:left w:w="70" w:type="dxa"/>
                <w:bottom w:w="0" w:type="dxa"/>
                <w:right w:w="70" w:type="dxa"/>
              </w:tblCellMar>
            </w:tblPr>
            <w:tblGrid>
              <w:gridCol w:w="704"/>
              <w:gridCol w:w="1977"/>
              <w:gridCol w:w="3913"/>
            </w:tblGrid>
            <w:tr>
              <w:trPr>
                <w:trHeight w:val="53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b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  <w:t>http status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b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  <w:t>Estado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b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  <w:t>Descripción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200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OK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Ok / Error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403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Forbidden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Error de accesos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500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Internal Server Error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Error interno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400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Bad Request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Campos input del Servicio REST obligatorios en blanco o nulo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404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Not Found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Si la línea no existe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val="es-ES"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val="es-ES" w:eastAsia="es-BO"/>
                    </w:rPr>
                    <w:t>401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Unauthorized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/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del Servicio REST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val="es-ES" w:eastAsia="es-BO"/>
                    </w:rPr>
                    <w:t xml:space="preserve">  Credenciales Invalidas</w:t>
                  </w:r>
                </w:p>
              </w:tc>
            </w:tr>
          </w:tbl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67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-289" w:type="dxa"/>
        <w:tblLayout w:type="fixed"/>
        <w:tblCellMar>
          <w:top w:w="30" w:type="dxa"/>
          <w:left w:w="30" w:type="dxa"/>
          <w:bottom w:w="20" w:type="dxa"/>
          <w:right w:w="30" w:type="dxa"/>
        </w:tblCellMar>
      </w:tblPr>
      <w:tblGrid>
        <w:gridCol w:w="1023"/>
        <w:gridCol w:w="6809"/>
        <w:gridCol w:w="672"/>
      </w:tblGrid>
      <w:tr>
        <w:trPr>
          <w:tblHeader w:val="true"/>
        </w:trPr>
        <w:tc>
          <w:tcPr>
            <w:tcW w:w="102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000000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000000"/>
                <w:kern w:val="0"/>
                <w:sz w:val="20"/>
                <w:szCs w:val="24"/>
                <w:lang w:eastAsia="en-US" w:bidi="ar-SA"/>
              </w:rPr>
              <w:t>Use Case Name</w:t>
            </w:r>
          </w:p>
        </w:tc>
        <w:tc>
          <w:tcPr>
            <w:tcW w:w="680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Functionality Description</w:t>
            </w:r>
          </w:p>
        </w:tc>
        <w:tc>
          <w:tcPr>
            <w:tcW w:w="67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 w:val="false"/>
                <w:i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bCs w:val="false"/>
                <w:i w:val="false"/>
                <w:iCs w:val="false"/>
                <w:color w:val="262626"/>
                <w:kern w:val="0"/>
                <w:sz w:val="20"/>
                <w:szCs w:val="24"/>
                <w:lang w:eastAsia="en-US" w:bidi="ar-SA"/>
              </w:rPr>
              <w:t>Use Case Confluence Route</w:t>
            </w:r>
          </w:p>
        </w:tc>
      </w:tr>
      <w:tr>
        <w:trPr/>
        <w:tc>
          <w:tcPr>
            <w:tcW w:w="102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color w:val="003263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color w:val="003263"/>
                <w:kern w:val="0"/>
                <w:sz w:val="20"/>
                <w:szCs w:val="24"/>
                <w:lang w:eastAsia="en-US" w:bidi="ar-SA"/>
              </w:rPr>
              <w:t>API Asociar comodato a cuenta</w:t>
            </w:r>
          </w:p>
        </w:tc>
        <w:tc>
          <w:tcPr>
            <w:tcW w:w="680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Este caso de uso es una API Rest en la que se asocia el IMEI de un dispositivo mobile a la cuenta de un cliente en BCCS.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Verbo: POST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URL: /v1/tigo/bo/comodato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val="en-US"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val="en-US" w:eastAsia="en-US" w:bidi="ar-SA"/>
              </w:rPr>
              <w:t>Body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"requestedStartDate"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"2022-11-16T13:22:32.870Z"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"isMandatory"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b/>
                <w:bCs/>
                <w:color w:val="18AF8A"/>
                <w:kern w:val="0"/>
                <w:sz w:val="18"/>
                <w:szCs w:val="18"/>
                <w:lang w:val="en-US" w:eastAsia="es" w:bidi="ar-SA"/>
              </w:rPr>
              <w:t>true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"channel"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"BCCS"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"characteristic"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"numeroDocumento"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"6254665"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"tipoDocumento"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"CI"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"clienteId"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"1500416"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"contrato"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"9492242"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"phoneNumber"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"75002636"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"usuario"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"ECOMMERCE"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"identificadorIndividual"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"373725698215873"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"comprobanteCNV"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"CNV-CC-8905"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"relatedEntity"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"id"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"71100690256_355513316959181"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"href"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FF"/>
                <w:kern w:val="0"/>
                <w:sz w:val="18"/>
                <w:szCs w:val="18"/>
                <w:lang w:val="en-US" w:eastAsia="es" w:bidi="ar-SA"/>
              </w:rPr>
              <w:t>http://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{host}/api/v1/devices/?stockId={stockId}&amp;sku={sku}"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"API getDevice info"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"role"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"device"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FF0000"/>
                <w:kern w:val="0"/>
                <w:sz w:val="18"/>
                <w:szCs w:val="18"/>
                <w:lang w:val="en-US" w:eastAsia="es" w:bidi="ar-SA"/>
              </w:rPr>
              <w:t>@type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"RelatedEntity"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FF0000"/>
                <w:kern w:val="0"/>
                <w:sz w:val="18"/>
                <w:szCs w:val="18"/>
                <w:lang w:val="en-US" w:eastAsia="es" w:bidi="ar-SA"/>
              </w:rPr>
              <w:t>@type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"TaskFlow"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"@baseType"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"TaskFlow"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}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Descripción de los campos de entrada:</w:t>
            </w:r>
          </w:p>
          <w:tbl>
            <w:tblPr>
              <w:tblW w:w="6956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318"/>
              <w:gridCol w:w="2319"/>
              <w:gridCol w:w="2319"/>
            </w:tblGrid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i/>
                      <w:i/>
                      <w:iCs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i/>
                      <w:iCs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  <w:tr>
              <w:trPr/>
              <w:tc>
                <w:tcPr>
                  <w:tcW w:w="231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  <w:tc>
                <w:tcPr>
                  <w:tcW w:w="231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Normal"/>
                    <w:widowControl/>
                    <w:spacing w:before="0" w:after="120"/>
                    <w:jc w:val="left"/>
                    <w:rPr>
                      <w:rFonts w:ascii="Arial" w:hAnsi="Arial"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pPr>
                  <w:r>
                    <w:rPr>
                      <w:rFonts w:eastAsia="Times New Roman" w:cs="Times New Roman"/>
                      <w:kern w:val="0"/>
                      <w:sz w:val="20"/>
                      <w:szCs w:val="24"/>
                      <w:lang w:eastAsia="en-US" w:bidi="ar-SA"/>
                    </w:rPr>
                  </w:r>
                </w:p>
              </w:tc>
            </w:tr>
          </w:tbl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/>
                <w:kern w:val="0"/>
                <w:sz w:val="20"/>
                <w:szCs w:val="24"/>
                <w:u w:val="single"/>
                <w:lang w:eastAsia="en-US" w:bidi="ar-SA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0"/>
                <w:szCs w:val="24"/>
                <w:u w:val="single"/>
                <w:lang w:eastAsia="en-US" w:bidi="ar-SA"/>
              </w:rPr>
              <w:t>Response ejemplo de proceso satisfactorio (Http Status Code – 200):</w:t>
            </w:r>
          </w:p>
          <w:p>
            <w:pPr>
              <w:pStyle w:val="Normal"/>
              <w:widowControl/>
              <w:shd w:fill="FFFFFE" w:val="clear"/>
              <w:spacing w:lineRule="atLeast" w:line="270"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{</w:t>
            </w:r>
          </w:p>
          <w:p>
            <w:pPr>
              <w:pStyle w:val="Normal"/>
              <w:widowControl/>
              <w:shd w:fill="FFFFFE" w:val="clear"/>
              <w:spacing w:lineRule="atLeast" w:line="270"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    </w:t>
            </w:r>
            <w:r>
              <w:rPr>
                <w:rFonts w:eastAsia="Times New Roman" w:cs="Courier New" w:ascii="Courier New" w:hAnsi="Courier New"/>
                <w:color w:val="A31515"/>
                <w:kern w:val="0"/>
                <w:sz w:val="18"/>
                <w:szCs w:val="18"/>
                <w:lang w:eastAsia="es" w:bidi="ar-SA"/>
              </w:rPr>
              <w:t>"codigo"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 : </w:t>
            </w:r>
            <w:r>
              <w:rPr>
                <w:rFonts w:eastAsia="Times New Roman" w:cs="Courier New" w:ascii="Courier New" w:hAnsi="Courier New"/>
                <w:color w:val="0451A5"/>
                <w:kern w:val="0"/>
                <w:sz w:val="18"/>
                <w:szCs w:val="18"/>
                <w:lang w:eastAsia="es" w:bidi="ar-SA"/>
              </w:rPr>
              <w:t>"OK"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,</w:t>
            </w:r>
          </w:p>
          <w:p>
            <w:pPr>
              <w:pStyle w:val="Normal"/>
              <w:widowControl/>
              <w:shd w:fill="FFFFFE" w:val="clear"/>
              <w:spacing w:lineRule="atLeast" w:line="270"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    </w:t>
            </w:r>
            <w:r>
              <w:rPr>
                <w:rFonts w:eastAsia="Times New Roman" w:cs="Courier New" w:ascii="Courier New" w:hAnsi="Courier New"/>
                <w:color w:val="A31515"/>
                <w:kern w:val="0"/>
                <w:sz w:val="18"/>
                <w:szCs w:val="18"/>
                <w:lang w:eastAsia="es" w:bidi="ar-SA"/>
              </w:rPr>
              <w:t>"mensaje"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 : </w:t>
            </w:r>
            <w:r>
              <w:rPr>
                <w:rFonts w:eastAsia="Times New Roman" w:cs="Courier New" w:ascii="Courier New" w:hAnsi="Courier New"/>
                <w:color w:val="0451A5"/>
                <w:kern w:val="0"/>
                <w:sz w:val="18"/>
                <w:szCs w:val="18"/>
                <w:lang w:eastAsia="es" w:bidi="ar-SA"/>
              </w:rPr>
              <w:t>"Proceso satisfactorio"</w:t>
            </w:r>
          </w:p>
          <w:p>
            <w:pPr>
              <w:pStyle w:val="Normal"/>
              <w:widowControl/>
              <w:shd w:fill="FFFFFE" w:val="clear"/>
              <w:spacing w:lineRule="atLeast" w:line="270"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}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bCs/>
                <w:kern w:val="0"/>
                <w:sz w:val="20"/>
                <w:szCs w:val="24"/>
                <w:u w:val="single"/>
                <w:lang w:eastAsia="en-US" w:bidi="ar-SA"/>
              </w:rPr>
            </w:pPr>
            <w:r>
              <w:rPr>
                <w:rFonts w:eastAsia="Times New Roman" w:cs="Times New Roman"/>
                <w:b/>
                <w:bCs/>
                <w:kern w:val="0"/>
                <w:sz w:val="20"/>
                <w:szCs w:val="24"/>
                <w:u w:val="single"/>
                <w:lang w:eastAsia="en-US" w:bidi="ar-SA"/>
              </w:rPr>
              <w:t>Response ejemplo de proceso NO satisfactorio (Http Status Code – 200):</w:t>
            </w:r>
          </w:p>
          <w:p>
            <w:pPr>
              <w:pStyle w:val="Normal"/>
              <w:widowControl/>
              <w:shd w:fill="FFFFFE" w:val="clear"/>
              <w:spacing w:lineRule="atLeast" w:line="270"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{</w:t>
            </w:r>
          </w:p>
          <w:p>
            <w:pPr>
              <w:pStyle w:val="Normal"/>
              <w:widowControl/>
              <w:shd w:fill="FFFFFE" w:val="clear"/>
              <w:spacing w:lineRule="atLeast" w:line="270"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    </w:t>
            </w:r>
            <w:r>
              <w:rPr>
                <w:rFonts w:eastAsia="Times New Roman" w:cs="Courier New" w:ascii="Courier New" w:hAnsi="Courier New"/>
                <w:color w:val="A31515"/>
                <w:kern w:val="0"/>
                <w:sz w:val="18"/>
                <w:szCs w:val="18"/>
                <w:lang w:eastAsia="es" w:bidi="ar-SA"/>
              </w:rPr>
              <w:t>"codigo"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 : </w:t>
            </w:r>
            <w:r>
              <w:rPr>
                <w:rFonts w:eastAsia="Times New Roman" w:cs="Courier New" w:ascii="Courier New" w:hAnsi="Courier New"/>
                <w:color w:val="0451A5"/>
                <w:kern w:val="0"/>
                <w:sz w:val="18"/>
                <w:szCs w:val="18"/>
                <w:lang w:eastAsia="es" w:bidi="ar-SA"/>
              </w:rPr>
              <w:t>"ERROR"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,</w:t>
            </w:r>
          </w:p>
          <w:p>
            <w:pPr>
              <w:pStyle w:val="Normal"/>
              <w:widowControl/>
              <w:shd w:fill="FFFFFE" w:val="clear"/>
              <w:spacing w:lineRule="atLeast" w:line="270"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    </w:t>
            </w:r>
            <w:r>
              <w:rPr>
                <w:rFonts w:eastAsia="Times New Roman" w:cs="Courier New" w:ascii="Courier New" w:hAnsi="Courier New"/>
                <w:color w:val="A31515"/>
                <w:kern w:val="0"/>
                <w:sz w:val="18"/>
                <w:szCs w:val="18"/>
                <w:lang w:eastAsia="es" w:bidi="ar-SA"/>
              </w:rPr>
              <w:t>"mensaje"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 : </w:t>
            </w:r>
            <w:r>
              <w:rPr>
                <w:rFonts w:eastAsia="Times New Roman" w:cs="Courier New" w:ascii="Courier New" w:hAnsi="Courier New"/>
                <w:color w:val="0451A5"/>
                <w:kern w:val="0"/>
                <w:sz w:val="18"/>
                <w:szCs w:val="18"/>
                <w:lang w:eastAsia="es" w:bidi="ar-SA"/>
              </w:rPr>
              <w:t>"Mensaje detallado del motivo del proceso no satisfactorio."</w:t>
            </w:r>
          </w:p>
          <w:p>
            <w:pPr>
              <w:pStyle w:val="Normal"/>
              <w:widowControl/>
              <w:shd w:fill="FFFFFE" w:val="clear"/>
              <w:spacing w:lineRule="atLeast" w:line="270"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}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Properties: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Ejemplo de parámetro de salida: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"requestedStartDate"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"2022-11-16T13:22:32.870Z"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"isMandatory"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b/>
                <w:bCs/>
                <w:color w:val="18AF8A"/>
                <w:kern w:val="0"/>
                <w:sz w:val="18"/>
                <w:szCs w:val="18"/>
                <w:lang w:val="en-US" w:eastAsia="es" w:bidi="ar-SA"/>
              </w:rPr>
              <w:t>true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"channel"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"BCCS"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"characteristic"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"numeroDocumento"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"6254665"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"tipoDocumento"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"CI"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"clienteId"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"1500416"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"contrato"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"9492242"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"phoneNumber"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"75002636"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"identificadorIndividual"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"string"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"value"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"373725698215873"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"relatedEntity"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: [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{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"id"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"71100690256_355513316959181"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"href"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FF"/>
                <w:kern w:val="0"/>
                <w:sz w:val="18"/>
                <w:szCs w:val="18"/>
                <w:lang w:val="en-US" w:eastAsia="es" w:bidi="ar-SA"/>
              </w:rPr>
              <w:t>http://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{host}/api/v1/devices/?stockId={stockId}&amp;sku={sku}"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"name"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"API getDevice info"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"role"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"device"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FF0000"/>
                <w:kern w:val="0"/>
                <w:sz w:val="18"/>
                <w:szCs w:val="18"/>
                <w:lang w:val="en-US" w:eastAsia="es" w:bidi="ar-SA"/>
              </w:rPr>
              <w:t>@type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"RelatedEntity"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}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val="en-US"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],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FF0000"/>
                <w:kern w:val="0"/>
                <w:sz w:val="18"/>
                <w:szCs w:val="18"/>
                <w:lang w:val="en-US" w:eastAsia="es" w:bidi="ar-SA"/>
              </w:rPr>
              <w:t>@type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"TaskFlow"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>,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eastAsia="Times New Roman"/>
                <w:kern w:val="0"/>
                <w:lang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    </w:t>
            </w:r>
            <w:r>
              <w:rPr>
                <w:rFonts w:eastAsia="Times New Roman" w:cs="Courier New" w:ascii="Courier New" w:hAnsi="Courier New"/>
                <w:color w:val="8000FF"/>
                <w:kern w:val="0"/>
                <w:sz w:val="18"/>
                <w:szCs w:val="18"/>
                <w:lang w:val="en-US" w:eastAsia="es" w:bidi="ar-SA"/>
              </w:rPr>
              <w:t>"@baseType"</w:t>
            </w: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val="en-US" w:eastAsia="es" w:bidi="ar-SA"/>
              </w:rPr>
              <w:t xml:space="preserve">: </w:t>
            </w:r>
            <w:r>
              <w:rPr>
                <w:rFonts w:eastAsia="Times New Roman" w:cs="Courier New" w:ascii="Courier New" w:hAnsi="Courier New"/>
                <w:color w:val="800000"/>
                <w:kern w:val="0"/>
                <w:sz w:val="18"/>
                <w:szCs w:val="18"/>
                <w:lang w:val="en-US" w:eastAsia="es" w:bidi="ar-SA"/>
              </w:rPr>
              <w:t>"TaskFlow"</w:t>
            </w:r>
          </w:p>
          <w:p>
            <w:pPr>
              <w:pStyle w:val="Normal"/>
              <w:widowControl/>
              <w:shd w:fill="FFFFFF" w:val="clear"/>
              <w:spacing w:before="0" w:after="0"/>
              <w:jc w:val="left"/>
              <w:rPr>
                <w:rFonts w:ascii="Courier New" w:hAnsi="Courier New" w:eastAsia="Times New Roman" w:cs="Courier New"/>
                <w:color w:val="000000"/>
                <w:kern w:val="0"/>
                <w:sz w:val="18"/>
                <w:szCs w:val="18"/>
                <w:lang w:eastAsia="es" w:bidi="ar-SA"/>
              </w:rPr>
            </w:pPr>
            <w:r>
              <w:rPr>
                <w:rFonts w:eastAsia="Times New Roman" w:cs="Courier New" w:ascii="Courier New" w:hAnsi="Courier New"/>
                <w:color w:val="000000"/>
                <w:kern w:val="0"/>
                <w:sz w:val="18"/>
                <w:szCs w:val="18"/>
                <w:lang w:eastAsia="es" w:bidi="ar-SA"/>
              </w:rPr>
              <w:t>}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67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</w:tr>
      <w:tr>
        <w:trPr/>
        <w:tc>
          <w:tcPr>
            <w:tcW w:w="102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color w:val="003263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color w:val="003263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680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Respuestas de la API: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tbl>
            <w:tblPr>
              <w:tblW w:w="6594" w:type="dxa"/>
              <w:jc w:val="center"/>
              <w:tblInd w:w="0" w:type="dxa"/>
              <w:tblLayout w:type="fixed"/>
              <w:tblCellMar>
                <w:top w:w="0" w:type="dxa"/>
                <w:left w:w="70" w:type="dxa"/>
                <w:bottom w:w="0" w:type="dxa"/>
                <w:right w:w="70" w:type="dxa"/>
              </w:tblCellMar>
            </w:tblPr>
            <w:tblGrid>
              <w:gridCol w:w="704"/>
              <w:gridCol w:w="1977"/>
              <w:gridCol w:w="3913"/>
            </w:tblGrid>
            <w:tr>
              <w:trPr>
                <w:trHeight w:val="53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b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  <w:t>http status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b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  <w:t>Estado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b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18"/>
                      <w:szCs w:val="18"/>
                      <w:lang w:eastAsia="es-BO"/>
                    </w:rPr>
                    <w:t>Descripción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200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OK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Ok / Error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404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Not Found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Ningún registro encontrado.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403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bottom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Forbidden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Error de accesos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500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Internal Server Error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Error interno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400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Bad Request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Campos input del Servicio REST obligatorios en blanco o nulo</w:t>
                  </w:r>
                </w:p>
              </w:tc>
            </w:tr>
            <w:tr>
              <w:trPr>
                <w:trHeight w:val="268" w:hRule="atLeast"/>
              </w:trPr>
              <w:tc>
                <w:tcPr>
                  <w:tcW w:w="7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val="es-ES"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val="es-ES" w:eastAsia="es-BO"/>
                    </w:rPr>
                    <w:t>401</w:t>
                  </w:r>
                </w:p>
              </w:tc>
              <w:tc>
                <w:tcPr>
                  <w:tcW w:w="197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jc w:val="center"/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Unauthorized</w:t>
                  </w:r>
                </w:p>
              </w:tc>
              <w:tc>
                <w:tcPr>
                  <w:tcW w:w="391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>
                  <w:pPr>
                    <w:pStyle w:val="Normal"/>
                    <w:widowControl w:val="false"/>
                    <w:spacing w:before="0" w:after="120"/>
                    <w:rPr/>
                  </w:pPr>
                  <w:r>
                    <w:rPr>
                      <w:rFonts w:cs="Arial"/>
                      <w:color w:val="000000"/>
                      <w:sz w:val="18"/>
                      <w:szCs w:val="18"/>
                      <w:lang w:eastAsia="es-BO"/>
                    </w:rPr>
                    <w:t>del Servicio REST</w:t>
                  </w:r>
                  <w:r>
                    <w:rPr>
                      <w:rFonts w:cs="Arial"/>
                      <w:color w:val="000000"/>
                      <w:sz w:val="18"/>
                      <w:szCs w:val="18"/>
                      <w:lang w:val="es-ES" w:eastAsia="es-BO"/>
                    </w:rPr>
                    <w:t xml:space="preserve">  Credenciales Invalidas</w:t>
                  </w:r>
                </w:p>
              </w:tc>
            </w:tr>
          </w:tbl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67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</w:tr>
      <w:tr>
        <w:trPr/>
        <w:tc>
          <w:tcPr>
            <w:tcW w:w="1023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  <w:shd w:fill="F0F0F0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b/>
                <w:b/>
                <w:color w:val="003263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b/>
                <w:color w:val="003263"/>
                <w:kern w:val="0"/>
                <w:sz w:val="20"/>
                <w:szCs w:val="24"/>
                <w:lang w:eastAsia="en-US" w:bidi="ar-SA"/>
              </w:rPr>
              <w:t>Requerimiento no funcional</w:t>
            </w:r>
          </w:p>
        </w:tc>
        <w:tc>
          <w:tcPr>
            <w:tcW w:w="6809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Se requiere que los siguientes puntos sean configurados en el archivo de configuración del servicio.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Parámetros por defecto para los inputs y response de cada método.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Scripts de base de datos.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Conexión de bases de datos.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Parametrización de timeout de conexiones.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Documentación de las APIs (Manual Implementación, Operaciones)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  <w:t>Logs (Ver RNF Logs).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  <w:tc>
          <w:tcPr>
            <w:tcW w:w="672" w:type="dxa"/>
            <w:tcBorders>
              <w:top w:val="single" w:sz="4" w:space="0" w:color="DDDDDD"/>
              <w:left w:val="single" w:sz="4" w:space="0" w:color="DDDDDD"/>
              <w:bottom w:val="single" w:sz="4" w:space="0" w:color="DDDDDD"/>
              <w:right w:val="single" w:sz="4" w:space="0" w:color="DDDDDD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Times New Roman" w:cs="Times New Roman"/>
                <w:kern w:val="0"/>
                <w:sz w:val="20"/>
                <w:szCs w:val="24"/>
                <w:lang w:eastAsia="en-US" w:bidi="ar-SA"/>
              </w:rPr>
            </w:pPr>
            <w:r>
              <w:rPr>
                <w:rFonts w:eastAsia="Times New Roman" w:cs="Times New Roman"/>
                <w:kern w:val="0"/>
                <w:sz w:val="20"/>
                <w:szCs w:val="24"/>
                <w:lang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9532" w:type="dxa"/>
        <w:jc w:val="left"/>
        <w:tblInd w:w="-289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5"/>
        <w:gridCol w:w="8397"/>
      </w:tblGrid>
      <w:tr>
        <w:trPr>
          <w:tblHeader w:val="true"/>
          <w:trHeight w:val="305" w:hRule="atLeast"/>
        </w:trPr>
        <w:tc>
          <w:tcPr>
            <w:tcW w:w="113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fill="4F81BD" w:val="clear"/>
          </w:tcPr>
          <w:p>
            <w:pPr>
              <w:pStyle w:val="Normal"/>
              <w:widowControl/>
              <w:spacing w:lineRule="auto" w:line="240" w:before="0" w:after="120"/>
              <w:jc w:val="left"/>
              <w:rPr>
                <w:rFonts w:ascii="Arial" w:hAnsi="Arial" w:eastAsia="Calibri" w:cs="Times New Roman"/>
                <w:b/>
                <w:b/>
                <w:bCs/>
                <w:color w:val="auto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/>
                <w:b/>
                <w:bCs/>
                <w:color w:val="auto"/>
                <w:kern w:val="0"/>
                <w:sz w:val="20"/>
                <w:szCs w:val="20"/>
                <w:lang w:eastAsia="en-US" w:bidi="ar-SA"/>
              </w:rPr>
              <w:t>Clasificación</w:t>
            </w:r>
          </w:p>
        </w:tc>
        <w:tc>
          <w:tcPr>
            <w:tcW w:w="8397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fill="4F81BD" w:val="clear"/>
          </w:tcPr>
          <w:p>
            <w:pPr>
              <w:pStyle w:val="Normal"/>
              <w:widowControl/>
              <w:spacing w:lineRule="auto" w:line="240" w:before="0" w:after="120"/>
              <w:jc w:val="left"/>
              <w:rPr>
                <w:rFonts w:ascii="Arial" w:hAnsi="Arial" w:eastAsia="Calibri" w:cs="Times New Roman"/>
                <w:b/>
                <w:b/>
                <w:bCs/>
                <w:color w:val="auto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/>
                <w:b/>
                <w:bCs/>
                <w:color w:val="auto"/>
                <w:kern w:val="0"/>
                <w:sz w:val="20"/>
                <w:szCs w:val="20"/>
                <w:lang w:eastAsia="en-US" w:bidi="ar-SA"/>
              </w:rPr>
              <w:t>Descripción</w:t>
            </w:r>
          </w:p>
        </w:tc>
      </w:tr>
      <w:tr>
        <w:trPr>
          <w:trHeight w:val="261" w:hRule="atLeast"/>
        </w:trPr>
        <w:tc>
          <w:tcPr>
            <w:tcW w:w="113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fill="DBE5F1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Arial" w:hAnsi="Arial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/>
                <w:kern w:val="0"/>
                <w:sz w:val="20"/>
                <w:szCs w:val="20"/>
                <w:lang w:eastAsia="en-US" w:bidi="ar-SA"/>
              </w:rPr>
              <w:t>RNF: Logs</w:t>
            </w:r>
          </w:p>
        </w:tc>
        <w:tc>
          <w:tcPr>
            <w:tcW w:w="8397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18"/>
                <w:szCs w:val="18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18"/>
                <w:szCs w:val="18"/>
                <w:lang w:val="es-CO" w:eastAsia="en-US" w:bidi="ar-SA"/>
              </w:rPr>
              <w:t>Para todos los procesos se deben dejar los logs en el siguiente formato.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18"/>
                <w:szCs w:val="18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18"/>
                <w:szCs w:val="18"/>
                <w:lang w:val="es-CO" w:eastAsia="en-US" w:bidi="ar-SA"/>
              </w:rPr>
              <w:t>[TIPO] [FECHA HORA] [USUARIO/CUENTA/CANAL] [ACCION] [TIEMPO]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eastAsia="Calibri"/>
                <w:kern w:val="0"/>
                <w:lang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18"/>
                <w:szCs w:val="18"/>
                <w:u w:val="single"/>
                <w:lang w:val="es-CO" w:eastAsia="en-US" w:bidi="ar-SA"/>
              </w:rPr>
              <w:t>TIPO</w:t>
            </w:r>
            <w:r>
              <w:rPr>
                <w:rFonts w:eastAsia="Calibri" w:cs="Cambria" w:ascii="Cambria" w:hAnsi="Cambria"/>
                <w:kern w:val="0"/>
                <w:sz w:val="18"/>
                <w:szCs w:val="18"/>
                <w:lang w:val="es-CO" w:eastAsia="en-US" w:bidi="ar-SA"/>
              </w:rPr>
              <w:t>: INFO/DEBUG/ERROR….</w:t>
              <w:br/>
            </w:r>
            <w:r>
              <w:rPr>
                <w:rFonts w:eastAsia="Calibri" w:cs="Cambria" w:ascii="Cambria" w:hAnsi="Cambria"/>
                <w:kern w:val="0"/>
                <w:sz w:val="18"/>
                <w:szCs w:val="18"/>
                <w:u w:val="single"/>
                <w:lang w:val="es-CO" w:eastAsia="en-US" w:bidi="ar-SA"/>
              </w:rPr>
              <w:t>FECHA HORA</w:t>
            </w:r>
            <w:r>
              <w:rPr>
                <w:rFonts w:eastAsia="Calibri" w:cs="Cambria" w:ascii="Cambria" w:hAnsi="Cambria"/>
                <w:kern w:val="0"/>
                <w:sz w:val="18"/>
                <w:szCs w:val="18"/>
                <w:lang w:val="es-CO" w:eastAsia="en-US" w:bidi="ar-SA"/>
              </w:rPr>
              <w:t>: mostrar la fecha y hora en formato dd/MM/yyyy HH:mm:ss</w:t>
              <w:br/>
            </w:r>
            <w:r>
              <w:rPr>
                <w:rFonts w:eastAsia="Calibri" w:cs="Cambria" w:ascii="Cambria" w:hAnsi="Cambria"/>
                <w:kern w:val="0"/>
                <w:sz w:val="18"/>
                <w:szCs w:val="18"/>
                <w:u w:val="single"/>
                <w:lang w:val="es-CO" w:eastAsia="en-US" w:bidi="ar-SA"/>
              </w:rPr>
              <w:t>API</w:t>
            </w:r>
            <w:r>
              <w:rPr>
                <w:rFonts w:eastAsia="Calibri" w:cs="Cambria" w:ascii="Cambria" w:hAnsi="Cambria"/>
                <w:i/>
                <w:kern w:val="0"/>
                <w:sz w:val="18"/>
                <w:szCs w:val="18"/>
                <w:lang w:val="es-CO" w:eastAsia="en-US" w:bidi="ar-SA"/>
              </w:rPr>
              <w:t>:</w:t>
            </w:r>
            <w:r>
              <w:rPr>
                <w:rFonts w:eastAsia="Calibri" w:cs="Cambria" w:ascii="Cambria" w:hAnsi="Cambria"/>
                <w:kern w:val="0"/>
                <w:sz w:val="18"/>
                <w:szCs w:val="18"/>
                <w:lang w:val="es-CO" w:eastAsia="en-US" w:bidi="ar-SA"/>
              </w:rPr>
              <w:t xml:space="preserve"> Para los procesos sms y ussd se debe imprimir la cuenta que está realizando el flujo, para la web y el ws se tiene que imprimir el usuario y la cuenta, y para el ws debe imprimir el canal.</w:t>
              <w:br/>
              <w:t>ej: ws.</w:t>
              <w:br/>
              <w:t xml:space="preserve">INFO 23/04/2015 10:00:00 </w:t>
            </w:r>
            <w:r>
              <w:rPr>
                <w:rFonts w:eastAsia="Calibri" w:cs="Cambria" w:ascii="Cambria" w:hAnsi="Cambria"/>
                <w:b/>
                <w:kern w:val="0"/>
                <w:sz w:val="18"/>
                <w:szCs w:val="18"/>
                <w:lang w:val="es-CO" w:eastAsia="en-US" w:bidi="ar-SA"/>
              </w:rPr>
              <w:t>pepito 77390320 sms</w:t>
            </w:r>
            <w:r>
              <w:rPr>
                <w:rFonts w:eastAsia="Calibri" w:cs="Cambria" w:ascii="Cambria" w:hAnsi="Cambria"/>
                <w:kern w:val="0"/>
                <w:sz w:val="18"/>
                <w:szCs w:val="18"/>
                <w:lang w:val="es-CO" w:eastAsia="en-US" w:bidi="ar-SA"/>
              </w:rPr>
              <w:t xml:space="preserve"> iniciando flujo.</w:t>
              <w:br/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eastAsia="Calibri"/>
                <w:kern w:val="0"/>
                <w:lang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18"/>
                <w:szCs w:val="18"/>
                <w:u w:val="single"/>
                <w:lang w:val="es-CO" w:eastAsia="en-US" w:bidi="ar-SA"/>
              </w:rPr>
              <w:t>ACCION</w:t>
            </w:r>
            <w:r>
              <w:rPr>
                <w:rFonts w:eastAsia="Calibri" w:cs="Cambria" w:ascii="Cambria" w:hAnsi="Cambria"/>
                <w:kern w:val="0"/>
                <w:sz w:val="18"/>
                <w:szCs w:val="18"/>
                <w:lang w:val="es-CO" w:eastAsia="en-US" w:bidi="ar-SA"/>
              </w:rPr>
              <w:t>: mensaje de la actividad que esté realizando.</w:t>
              <w:br/>
            </w:r>
            <w:r>
              <w:rPr>
                <w:rFonts w:eastAsia="Calibri" w:cs="Cambria" w:ascii="Cambria" w:hAnsi="Cambria"/>
                <w:kern w:val="0"/>
                <w:sz w:val="18"/>
                <w:szCs w:val="18"/>
                <w:u w:val="single"/>
                <w:lang w:val="es-CO" w:eastAsia="en-US" w:bidi="ar-SA"/>
              </w:rPr>
              <w:t>TIEMPO</w:t>
            </w:r>
            <w:r>
              <w:rPr>
                <w:rFonts w:eastAsia="Calibri" w:cs="Cambria" w:ascii="Cambria" w:hAnsi="Cambria"/>
                <w:kern w:val="0"/>
                <w:sz w:val="18"/>
                <w:szCs w:val="18"/>
                <w:lang w:val="es-CO" w:eastAsia="en-US" w:bidi="ar-SA"/>
              </w:rPr>
              <w:t>: Para las conexiónes a interfaces se tiene que mostrar el tiempo en ms que tarda en responder al momento de invocar el ws, esto para cualquier método a utilizar del ws.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18"/>
                <w:szCs w:val="18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18"/>
                <w:szCs w:val="18"/>
                <w:lang w:val="es-CO" w:eastAsia="en-US" w:bidi="ar-SA"/>
              </w:rPr>
              <w:t>Para los casos de errores, las excepciones deben elevarse hasta la clase principal e imprimir en el log el stacktrace de la excepción.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</w:r>
          </w:p>
        </w:tc>
      </w:tr>
      <w:tr>
        <w:trPr>
          <w:trHeight w:val="261" w:hRule="atLeast"/>
        </w:trPr>
        <w:tc>
          <w:tcPr>
            <w:tcW w:w="113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fill="DBE5F1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mbria" w:hAnsi="Cambria"/>
                <w:kern w:val="0"/>
                <w:sz w:val="20"/>
                <w:szCs w:val="20"/>
                <w:lang w:eastAsia="en-US" w:bidi="ar-SA"/>
              </w:rPr>
              <w:t>RNF: Implementación</w:t>
            </w:r>
          </w:p>
        </w:tc>
        <w:tc>
          <w:tcPr>
            <w:tcW w:w="8397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  <w:t>El proceso requerido debe estar implementado considerando los siguientes puntos:</w:t>
              <w:br/>
            </w:r>
          </w:p>
          <w:p>
            <w:pPr>
              <w:pStyle w:val="ListParagraph"/>
              <w:widowControl/>
              <w:numPr>
                <w:ilvl w:val="0"/>
                <w:numId w:val="13"/>
              </w:numPr>
              <w:spacing w:before="0" w:after="120"/>
              <w:contextualSpacing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  <w:t>Tomar en cuenta las buenas prácticas de desarrollo para codificación java.</w:t>
            </w:r>
          </w:p>
          <w:p>
            <w:pPr>
              <w:pStyle w:val="ListParagraph"/>
              <w:widowControl/>
              <w:numPr>
                <w:ilvl w:val="0"/>
                <w:numId w:val="13"/>
              </w:numPr>
              <w:spacing w:before="0" w:after="120"/>
              <w:contextualSpacing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  <w:t>Se debe asegurar el buen manejo de las conexiones hacia servicios externos. Se debe asegurar el correcto cierre de las conexiones.</w:t>
            </w:r>
          </w:p>
          <w:p>
            <w:pPr>
              <w:pStyle w:val="ListParagraph"/>
              <w:widowControl/>
              <w:numPr>
                <w:ilvl w:val="0"/>
                <w:numId w:val="13"/>
              </w:numPr>
              <w:spacing w:before="0" w:after="120"/>
              <w:contextualSpacing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  <w:t>Las pruebas, capacitación, manuales deben ser documentados y versionados.</w:t>
            </w:r>
          </w:p>
          <w:p>
            <w:pPr>
              <w:pStyle w:val="ListParagraph"/>
              <w:widowControl/>
              <w:numPr>
                <w:ilvl w:val="0"/>
                <w:numId w:val="13"/>
              </w:numPr>
              <w:spacing w:before="0" w:after="120"/>
              <w:contextualSpacing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  <w:t>La solución deberá ser desplegada en un contenedor Docker orquestado por Kubernetes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</w:r>
          </w:p>
        </w:tc>
      </w:tr>
      <w:tr>
        <w:trPr>
          <w:trHeight w:val="261" w:hRule="atLeast"/>
        </w:trPr>
        <w:tc>
          <w:tcPr>
            <w:tcW w:w="113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fill="DBE5F1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RNF: Configuración</w:t>
            </w:r>
          </w:p>
        </w:tc>
        <w:tc>
          <w:tcPr>
            <w:tcW w:w="8397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Se requiere que los siguientes puntos sean configurados en el archivo de configuración del servicio.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Parámetros por defecto para los inputs y response de cada método.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Scripts de base de datos.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Conexión de bases de datos.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Parametrización de timeout de conexiones.</w:t>
            </w:r>
          </w:p>
          <w:p>
            <w:pPr>
              <w:pStyle w:val="ListParagraph"/>
              <w:widowControl/>
              <w:numPr>
                <w:ilvl w:val="0"/>
                <w:numId w:val="2"/>
              </w:numPr>
              <w:spacing w:before="0" w:after="120"/>
              <w:contextualSpacing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Logs (Ver RNF Logs).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</w:r>
          </w:p>
        </w:tc>
      </w:tr>
      <w:tr>
        <w:trPr>
          <w:trHeight w:val="261" w:hRule="atLeast"/>
        </w:trPr>
        <w:tc>
          <w:tcPr>
            <w:tcW w:w="113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fill="DBE5F1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RNF: Autenticación (Authorization Basic)</w:t>
            </w:r>
          </w:p>
        </w:tc>
        <w:tc>
          <w:tcPr>
            <w:tcW w:w="8397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  <w:t>El servicio debe poder solicitar credenciales de autenticación para el uso de este.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eastAsia="Calibri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  <w:t xml:space="preserve">El Autorization debe ser de tipo </w:t>
            </w:r>
            <w:r>
              <w:rPr>
                <w:rFonts w:eastAsia="Calibri" w:cs="Cambria" w:ascii="Cambria" w:hAnsi="Cambria"/>
                <w:i/>
                <w:iCs/>
                <w:kern w:val="0"/>
                <w:sz w:val="20"/>
                <w:szCs w:val="20"/>
                <w:lang w:val="es-CO" w:eastAsia="en-US" w:bidi="ar-SA"/>
              </w:rPr>
              <w:t>Basic Auth.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eastAsia="Calibri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/>
                <w:kern w:val="0"/>
                <w:sz w:val="20"/>
                <w:szCs w:val="20"/>
                <w:lang w:eastAsia="en-US" w:bidi="ar-SA"/>
              </w:rPr>
              <w:drawing>
                <wp:inline distT="0" distB="0" distL="0" distR="0">
                  <wp:extent cx="5194935" cy="1217295"/>
                  <wp:effectExtent l="0" t="0" r="0" b="0"/>
                  <wp:docPr id="2" name="Imagen 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4935" cy="121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61" w:hRule="atLeast"/>
        </w:trPr>
        <w:tc>
          <w:tcPr>
            <w:tcW w:w="1135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  <w:shd w:fill="DBE5F1" w:val="clear"/>
          </w:tcPr>
          <w:p>
            <w:pPr>
              <w:pStyle w:val="Normal"/>
              <w:widowControl/>
              <w:spacing w:before="0" w:after="120"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RNF: Documentación</w:t>
            </w:r>
          </w:p>
        </w:tc>
        <w:tc>
          <w:tcPr>
            <w:tcW w:w="8397" w:type="dxa"/>
            <w:tcBorders>
              <w:top w:val="single" w:sz="4" w:space="0" w:color="548DD4"/>
              <w:left w:val="single" w:sz="4" w:space="0" w:color="548DD4"/>
              <w:bottom w:val="single" w:sz="4" w:space="0" w:color="548DD4"/>
              <w:right w:val="single" w:sz="4" w:space="0" w:color="548DD4"/>
            </w:tcBorders>
          </w:tcPr>
          <w:p>
            <w:pPr>
              <w:pStyle w:val="Normal"/>
              <w:widowControl/>
              <w:spacing w:before="0" w:after="120"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Se deberá proveer con la documentación correspondiente.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Calibri" w:hAnsi="Calibri" w:eastAsia="Calibri" w:cs="Times New Roman"/>
                <w:kern w:val="0"/>
                <w:sz w:val="20"/>
                <w:szCs w:val="20"/>
                <w:lang w:eastAsia="en-US" w:bidi="ar-SA"/>
              </w:rPr>
            </w:pPr>
            <w:r>
              <w:rPr>
                <w:rFonts w:eastAsia="Calibri" w:cs="Times New Roman" w:ascii="Calibri" w:hAnsi="Calibri"/>
                <w:kern w:val="0"/>
                <w:sz w:val="20"/>
                <w:szCs w:val="20"/>
                <w:lang w:eastAsia="en-US" w:bidi="ar-SA"/>
              </w:rPr>
              <w:t>Documentación de las APIs (Manual Implementación, Operaciones)</w:t>
            </w:r>
          </w:p>
          <w:p>
            <w:pPr>
              <w:pStyle w:val="Normal"/>
              <w:widowControl/>
              <w:spacing w:before="0" w:after="120"/>
              <w:jc w:val="left"/>
              <w:rPr>
                <w:rFonts w:ascii="Cambria" w:hAnsi="Cambria" w:eastAsia="Calibri" w:cs="Cambria"/>
                <w:kern w:val="0"/>
                <w:sz w:val="20"/>
                <w:szCs w:val="20"/>
                <w:lang w:val="es-CO" w:eastAsia="en-US" w:bidi="ar-SA"/>
              </w:rPr>
            </w:pPr>
            <w:r>
              <w:rPr>
                <w:rFonts w:eastAsia="Calibri" w:cs="Cambria" w:ascii="Cambria" w:hAnsi="Cambria"/>
                <w:kern w:val="0"/>
                <w:sz w:val="20"/>
                <w:szCs w:val="20"/>
                <w:lang w:val="es-CO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Anexos.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Anexo – Cambio de Situación del Equipo En Propio y Cambiar a COR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3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4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5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6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7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8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9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10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11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12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13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14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15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16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95595" cy="3033395"/>
            <wp:effectExtent l="0" t="0" r="0" b="0"/>
            <wp:docPr id="17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Ttulo3"/>
        <w:numPr>
          <w:ilvl w:val="0"/>
          <w:numId w:val="0"/>
        </w:numPr>
        <w:ind w:left="0" w:right="0" w:hanging="0"/>
        <w:rPr/>
      </w:pPr>
      <w:bookmarkStart w:id="30" w:name="_Toc102512526"/>
      <w:bookmarkStart w:id="31" w:name="scroll-bookmark-22"/>
      <w:r>
        <w:rPr/>
        <w:t>2. SOLUTION ARCHITECTURE</w:t>
      </w:r>
      <w:bookmarkEnd w:id="30"/>
      <w:bookmarkEnd w:id="31"/>
    </w:p>
    <w:p>
      <w:pPr>
        <w:pStyle w:val="Ttulo2"/>
        <w:numPr>
          <w:ilvl w:val="0"/>
          <w:numId w:val="0"/>
        </w:numPr>
        <w:ind w:left="0" w:right="0" w:hanging="0"/>
        <w:rPr/>
      </w:pPr>
      <w:bookmarkStart w:id="32" w:name="_Toc102512527"/>
      <w:bookmarkStart w:id="33" w:name="scroll-bookmark-23"/>
      <w:r>
        <w:rPr/>
        <w:t>2.1 Vista Macro</w:t>
      </w:r>
      <w:bookmarkEnd w:id="32"/>
      <w:bookmarkEnd w:id="33"/>
    </w:p>
    <w:p>
      <w:pPr>
        <w:pStyle w:val="Normal"/>
        <w:rPr/>
      </w:pPr>
      <w:r>
        <w:rPr/>
        <w:drawing>
          <wp:inline distT="0" distB="0" distL="0" distR="0">
            <wp:extent cx="5395595" cy="3221990"/>
            <wp:effectExtent l="0" t="0" r="0" b="0"/>
            <wp:docPr id="18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numPr>
          <w:ilvl w:val="0"/>
          <w:numId w:val="0"/>
        </w:numPr>
        <w:ind w:left="0" w:right="0" w:hanging="0"/>
        <w:rPr/>
      </w:pPr>
      <w:bookmarkStart w:id="34" w:name="_Toc102512528"/>
      <w:bookmarkStart w:id="35" w:name="scroll-bookmark-27"/>
      <w:r>
        <w:rPr/>
        <w:t>2.4. Development View</w:t>
      </w:r>
      <w:bookmarkEnd w:id="34"/>
      <w:bookmarkEnd w:id="35"/>
    </w:p>
    <w:p>
      <w:pPr>
        <w:pStyle w:val="Normal"/>
        <w:spacing w:before="0" w:after="120"/>
        <w:jc w:val="center"/>
        <w:rPr/>
      </w:pPr>
      <w:r>
        <w:rPr/>
        <w:drawing>
          <wp:inline distT="0" distB="0" distL="0" distR="0">
            <wp:extent cx="5395595" cy="1485900"/>
            <wp:effectExtent l="0" t="0" r="0" b="0"/>
            <wp:docPr id="19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3"/>
      <w:footerReference w:type="default" r:id="rId24"/>
      <w:type w:val="nextPage"/>
      <w:pgSz w:w="11906" w:h="16838"/>
      <w:pgMar w:left="1701" w:right="1701" w:gutter="0" w:header="709" w:top="1440" w:footer="709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ucida Grande">
    <w:charset w:val="01"/>
    <w:family w:val="roman"/>
    <w:pitch w:val="variable"/>
  </w:font>
  <w:font w:name="Source Sans Pro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/>
    </w:pPr>
    <w:r>
      <w:rPr/>
      <w:t xml:space="preserve">Table of Contents –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Piedepgina"/>
      <w:rPr/>
    </w:pPr>
    <w:r>
      <w:fldChar w:fldCharType="begin"/>
    </w:r>
    <w:r>
      <w:rPr/>
      <w:instrText xml:space="preserve">STYLEREF "Heading 1"</w:instrText>
    </w:r>
    <w:r>
      <w:rPr/>
    </w:r>
    <w:r>
      <w:rPr/>
      <w:fldChar w:fldCharType="separate"/>
    </w:r>
    <w:r>
      <w:rPr/>
    </w:r>
    <w:r>
      <w:rPr>
        <w:b/>
        <w:bCs/>
        <w:lang w:val="es-ES"/>
      </w:rPr>
      <w:t>¡Error! Utilice la pestaña Inicio para aplicar Heading 1 al texto que desea que aparezca aquí.</w:t>
    </w:r>
    <w:r>
      <w:rPr/>
    </w:r>
    <w:r>
      <w:rPr/>
      <w:fldChar w:fldCharType="end"/>
    </w:r>
    <w:r>
      <w:rPr/>
      <w:t xml:space="preserve"> – </w:t>
    </w: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27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jc w:val="right"/>
      <w:rPr>
        <w:sz w:val="18"/>
        <w:szCs w:val="18"/>
      </w:rPr>
    </w:pPr>
    <w:r>
      <w:rPr>
        <w:sz w:val="18"/>
        <w:szCs w:val="18"/>
      </w:rPr>
      <w:t>IT Projects – Subsidio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Cabecera"/>
      <w:jc w:val="right"/>
      <w:rPr>
        <w:sz w:val="18"/>
        <w:szCs w:val="18"/>
      </w:rPr>
    </w:pPr>
    <w:r>
      <w:rPr>
        <w:sz w:val="18"/>
        <w:szCs w:val="18"/>
      </w:rPr>
      <w:t>IT Projects – Subsidio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Ttulo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Ttulo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Ttulo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Ttulo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Ttulo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Ttulo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Ttulo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Ttulo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40"/>
  <w:embedSystemFonts/>
  <w:defaultTabStop w:val="284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Times New Roman" w:cs="Times New Roman"/>
        <w:szCs w:val="24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before="0" w:after="120"/>
      <w:jc w:val="left"/>
    </w:pPr>
    <w:rPr>
      <w:rFonts w:ascii="Arial" w:hAnsi="Arial" w:eastAsia="Times New Roman" w:cs="Times New Roman"/>
      <w:color w:val="auto"/>
      <w:kern w:val="0"/>
      <w:sz w:val="20"/>
      <w:szCs w:val="24"/>
      <w:lang w:val="es" w:eastAsia="en-US" w:bidi="ar-SA"/>
    </w:rPr>
  </w:style>
  <w:style w:type="paragraph" w:styleId="Ttulo1">
    <w:name w:val="Heading 1"/>
    <w:basedOn w:val="Normal"/>
    <w:next w:val="Normal"/>
    <w:qFormat/>
    <w:pPr>
      <w:keepNext w:val="true"/>
      <w:pageBreakBefore/>
      <w:numPr>
        <w:ilvl w:val="0"/>
        <w:numId w:val="1"/>
      </w:numPr>
      <w:tabs>
        <w:tab w:val="clear" w:pos="284"/>
        <w:tab w:val="left" w:pos="0" w:leader="none"/>
        <w:tab w:val="left" w:pos="567" w:leader="none"/>
      </w:tabs>
      <w:spacing w:before="0" w:after="240"/>
      <w:ind w:left="431" w:right="0" w:hanging="431"/>
      <w:outlineLvl w:val="0"/>
    </w:pPr>
    <w:rPr>
      <w:rFonts w:cs="Arial"/>
      <w:b/>
      <w:bCs/>
      <w:color w:val="404040"/>
      <w:kern w:val="2"/>
      <w:sz w:val="32"/>
      <w:szCs w:val="32"/>
    </w:rPr>
  </w:style>
  <w:style w:type="paragraph" w:styleId="Ttulo2">
    <w:name w:val="Heading 2"/>
    <w:basedOn w:val="Normal"/>
    <w:next w:val="Normal"/>
    <w:qFormat/>
    <w:pPr>
      <w:keepNext w:val="true"/>
      <w:numPr>
        <w:ilvl w:val="1"/>
        <w:numId w:val="1"/>
      </w:numPr>
      <w:tabs>
        <w:tab w:val="clear" w:pos="284"/>
        <w:tab w:val="left" w:pos="567" w:leader="none"/>
      </w:tabs>
      <w:spacing w:before="480" w:after="240"/>
      <w:outlineLvl w:val="1"/>
    </w:pPr>
    <w:rPr>
      <w:rFonts w:cs="Arial"/>
      <w:b/>
      <w:bCs/>
      <w:color w:val="404040"/>
      <w:sz w:val="28"/>
      <w:szCs w:val="28"/>
    </w:rPr>
  </w:style>
  <w:style w:type="paragraph" w:styleId="Ttulo3">
    <w:name w:val="Heading 3"/>
    <w:basedOn w:val="Normal"/>
    <w:next w:val="Normal"/>
    <w:qFormat/>
    <w:pPr>
      <w:keepNext w:val="true"/>
      <w:numPr>
        <w:ilvl w:val="2"/>
        <w:numId w:val="1"/>
      </w:numPr>
      <w:tabs>
        <w:tab w:val="clear" w:pos="284"/>
        <w:tab w:val="left" w:pos="567" w:leader="none"/>
      </w:tabs>
      <w:spacing w:before="360" w:after="120"/>
      <w:outlineLvl w:val="2"/>
    </w:pPr>
    <w:rPr>
      <w:rFonts w:cs="Arial"/>
      <w:b/>
      <w:bCs/>
      <w:color w:val="595959"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pPr>
      <w:keepNext w:val="true"/>
      <w:keepLines/>
      <w:numPr>
        <w:ilvl w:val="3"/>
        <w:numId w:val="1"/>
      </w:numPr>
      <w:spacing w:before="240" w:after="0"/>
      <w:ind w:left="862" w:right="0" w:hanging="862"/>
      <w:outlineLvl w:val="3"/>
    </w:pPr>
    <w:rPr>
      <w:rFonts w:eastAsia="ＭＳ ゴシック" w:cs="Times New Roman"/>
      <w:iCs/>
      <w:color w:val="595959"/>
    </w:rPr>
  </w:style>
  <w:style w:type="paragraph" w:styleId="Ttulo5">
    <w:name w:val="Heading 5"/>
    <w:basedOn w:val="Normal"/>
    <w:next w:val="Normal"/>
    <w:link w:val="Ttulo5Car"/>
    <w:qFormat/>
    <w:pPr>
      <w:keepNext w:val="true"/>
      <w:keepLines/>
      <w:numPr>
        <w:ilvl w:val="4"/>
        <w:numId w:val="1"/>
      </w:numPr>
      <w:spacing w:before="240" w:after="0"/>
      <w:ind w:left="1009" w:right="0" w:hanging="1009"/>
      <w:outlineLvl w:val="4"/>
    </w:pPr>
    <w:rPr>
      <w:rFonts w:eastAsia="ＭＳ ゴシック" w:cs="Times New Roman"/>
      <w:color w:val="595959"/>
    </w:rPr>
  </w:style>
  <w:style w:type="paragraph" w:styleId="Ttulo6">
    <w:name w:val="Heading 6"/>
    <w:basedOn w:val="Normal"/>
    <w:next w:val="Normal"/>
    <w:link w:val="Ttulo6Car"/>
    <w:qFormat/>
    <w:pPr>
      <w:keepNext w:val="true"/>
      <w:keepLines/>
      <w:numPr>
        <w:ilvl w:val="5"/>
        <w:numId w:val="1"/>
      </w:numPr>
      <w:spacing w:before="240" w:after="0"/>
      <w:ind w:left="1151" w:right="0" w:hanging="1151"/>
      <w:outlineLvl w:val="5"/>
    </w:pPr>
    <w:rPr>
      <w:rFonts w:eastAsia="ＭＳ ゴシック" w:cs="Times New Roman"/>
      <w:color w:val="7F7F7F"/>
    </w:rPr>
  </w:style>
  <w:style w:type="paragraph" w:styleId="Ttulo7">
    <w:name w:val="Heading 7"/>
    <w:basedOn w:val="Normal"/>
    <w:next w:val="Normal"/>
    <w:link w:val="Ttulo7Car"/>
    <w:qFormat/>
    <w:pPr>
      <w:keepNext w:val="true"/>
      <w:keepLines/>
      <w:numPr>
        <w:ilvl w:val="6"/>
        <w:numId w:val="1"/>
      </w:numPr>
      <w:spacing w:before="240" w:after="0"/>
      <w:ind w:left="1298" w:right="0" w:hanging="1298"/>
      <w:outlineLvl w:val="6"/>
    </w:pPr>
    <w:rPr>
      <w:rFonts w:eastAsia="ＭＳ ゴシック" w:cs="Times New Roman"/>
      <w:color w:val="7F7F7F"/>
    </w:rPr>
  </w:style>
  <w:style w:type="paragraph" w:styleId="Ttulo8">
    <w:name w:val="Heading 8"/>
    <w:basedOn w:val="Normal"/>
    <w:next w:val="Normal"/>
    <w:link w:val="Ttulo8Car"/>
    <w:qFormat/>
    <w:pPr>
      <w:keepNext w:val="true"/>
      <w:keepLines/>
      <w:numPr>
        <w:ilvl w:val="7"/>
        <w:numId w:val="1"/>
      </w:numPr>
      <w:spacing w:before="240" w:after="0"/>
      <w:outlineLvl w:val="7"/>
    </w:pPr>
    <w:rPr>
      <w:rFonts w:eastAsia="ＭＳ ゴシック" w:cs="Times New Roman"/>
      <w:color w:val="7F7F7F"/>
      <w:szCs w:val="21"/>
    </w:rPr>
  </w:style>
  <w:style w:type="paragraph" w:styleId="Ttulo9">
    <w:name w:val="Heading 9"/>
    <w:basedOn w:val="Normal"/>
    <w:next w:val="Normal"/>
    <w:link w:val="Ttulo9Car"/>
    <w:qFormat/>
    <w:pPr>
      <w:keepNext w:val="true"/>
      <w:keepLines/>
      <w:numPr>
        <w:ilvl w:val="8"/>
        <w:numId w:val="1"/>
      </w:numPr>
      <w:spacing w:before="240" w:after="0"/>
      <w:ind w:left="1582" w:right="0" w:hanging="1582"/>
      <w:outlineLvl w:val="8"/>
    </w:pPr>
    <w:rPr>
      <w:rFonts w:eastAsia="ＭＳ ゴシック" w:cs="Times New Roman"/>
      <w:color w:val="7F7F7F"/>
      <w:szCs w:val="21"/>
    </w:rPr>
  </w:style>
  <w:style w:type="character" w:styleId="DefaultParagraphFont">
    <w:name w:val="Default Paragraph Font"/>
    <w:qFormat/>
    <w:rPr/>
  </w:style>
  <w:style w:type="character" w:styleId="EnlacedeInternet">
    <w:name w:val="Enlace de Internet"/>
    <w:basedOn w:val="DefaultParagraphFont"/>
    <w:rPr>
      <w:color w:val="0000FF"/>
      <w:u w:val="single"/>
    </w:rPr>
  </w:style>
  <w:style w:type="character" w:styleId="EncabezadoCar">
    <w:name w:val="Encabezado Car"/>
    <w:basedOn w:val="DefaultParagraphFont"/>
    <w:qFormat/>
    <w:rPr>
      <w:rFonts w:ascii="Arial" w:hAnsi="Arial"/>
      <w:sz w:val="20"/>
    </w:rPr>
  </w:style>
  <w:style w:type="character" w:styleId="PiedepginaCar">
    <w:name w:val="Pie de página Car"/>
    <w:basedOn w:val="DefaultParagraphFont"/>
    <w:qFormat/>
    <w:rPr>
      <w:rFonts w:ascii="Arial" w:hAnsi="Arial"/>
      <w:sz w:val="18"/>
    </w:rPr>
  </w:style>
  <w:style w:type="character" w:styleId="Pagenumber">
    <w:name w:val="page number"/>
    <w:basedOn w:val="DefaultParagraphFont"/>
    <w:qFormat/>
    <w:rPr>
      <w:rFonts w:ascii="Arial" w:hAnsi="Arial"/>
      <w:sz w:val="20"/>
    </w:rPr>
  </w:style>
  <w:style w:type="character" w:styleId="MapadeldocumentoCar">
    <w:name w:val="Mapa del documento Car"/>
    <w:basedOn w:val="DefaultParagraphFont"/>
    <w:link w:val="DocumentMap"/>
    <w:qFormat/>
    <w:rPr>
      <w:rFonts w:ascii="Lucida Grande" w:hAnsi="Lucida Grande"/>
      <w:lang w:eastAsia="en-US"/>
    </w:rPr>
  </w:style>
  <w:style w:type="character" w:styleId="Ttulo4Car">
    <w:name w:val="Título 4 Car"/>
    <w:basedOn w:val="DefaultParagraphFont"/>
    <w:qFormat/>
    <w:rPr>
      <w:rFonts w:eastAsia="ＭＳ ゴシック" w:cs="Times New Roman"/>
      <w:iCs/>
      <w:color w:val="595959"/>
      <w:lang w:val="es"/>
    </w:rPr>
  </w:style>
  <w:style w:type="character" w:styleId="Ttulo5Car">
    <w:name w:val="Título 5 Car"/>
    <w:basedOn w:val="DefaultParagraphFont"/>
    <w:qFormat/>
    <w:rPr>
      <w:rFonts w:eastAsia="ＭＳ ゴシック" w:cs="Times New Roman"/>
      <w:color w:val="595959"/>
      <w:lang w:val="es"/>
    </w:rPr>
  </w:style>
  <w:style w:type="character" w:styleId="Ttulo6Car">
    <w:name w:val="Título 6 Car"/>
    <w:basedOn w:val="DefaultParagraphFont"/>
    <w:qFormat/>
    <w:rPr>
      <w:rFonts w:eastAsia="ＭＳ ゴシック" w:cs="Times New Roman"/>
      <w:color w:val="7F7F7F"/>
      <w:lang w:val="es"/>
    </w:rPr>
  </w:style>
  <w:style w:type="character" w:styleId="Ttulo7Car">
    <w:name w:val="Título 7 Car"/>
    <w:basedOn w:val="DefaultParagraphFont"/>
    <w:qFormat/>
    <w:rPr>
      <w:rFonts w:eastAsia="ＭＳ ゴシック" w:cs="Times New Roman"/>
      <w:color w:val="7F7F7F"/>
      <w:lang w:val="es"/>
    </w:rPr>
  </w:style>
  <w:style w:type="character" w:styleId="Ttulo8Car">
    <w:name w:val="Título 8 Car"/>
    <w:basedOn w:val="DefaultParagraphFont"/>
    <w:qFormat/>
    <w:rPr>
      <w:rFonts w:eastAsia="ＭＳ ゴシック" w:cs="Times New Roman"/>
      <w:color w:val="7F7F7F"/>
      <w:szCs w:val="21"/>
      <w:lang w:val="es"/>
    </w:rPr>
  </w:style>
  <w:style w:type="character" w:styleId="Ttulo9Car">
    <w:name w:val="Título 9 Car"/>
    <w:basedOn w:val="DefaultParagraphFont"/>
    <w:qFormat/>
    <w:rPr>
      <w:rFonts w:eastAsia="ＭＳ ゴシック" w:cs="Times New Roman"/>
      <w:color w:val="7F7F7F"/>
      <w:szCs w:val="21"/>
      <w:lang w:val="es"/>
    </w:rPr>
  </w:style>
  <w:style w:type="character" w:styleId="IntenseEmphasis">
    <w:name w:val="Intense Emphasis"/>
    <w:basedOn w:val="DefaultParagraphFont"/>
    <w:qFormat/>
    <w:rPr>
      <w:i/>
      <w:iCs/>
      <w:color w:val="7F7F7F"/>
    </w:rPr>
  </w:style>
  <w:style w:type="character" w:styleId="CitadestacadaCar">
    <w:name w:val="Cita destacada Car"/>
    <w:basedOn w:val="DefaultParagraphFont"/>
    <w:link w:val="IntenseQuote"/>
    <w:qFormat/>
    <w:rPr>
      <w:rFonts w:ascii="Source Sans Pro" w:hAnsi="Source Sans Pro"/>
      <w:i/>
      <w:iCs/>
      <w:color w:val="7F7F7F"/>
      <w:sz w:val="20"/>
    </w:rPr>
  </w:style>
  <w:style w:type="character" w:styleId="IntenseReference">
    <w:name w:val="Intense Reference"/>
    <w:basedOn w:val="DefaultParagraphFont"/>
    <w:qFormat/>
    <w:rPr>
      <w:b/>
      <w:bCs/>
      <w:smallCaps/>
      <w:color w:val="7F7F7F"/>
      <w:spacing w:val="5"/>
    </w:rPr>
  </w:style>
  <w:style w:type="character" w:styleId="EnlacedeInternetvisitado">
    <w:name w:val="Enlace de Internet visitado"/>
    <w:basedOn w:val="DefaultParagraphFont"/>
    <w:rPr>
      <w:color w:val="800080"/>
      <w:u w:val="single"/>
    </w:rPr>
  </w:style>
  <w:style w:type="character" w:styleId="Sc8">
    <w:name w:val="sc8"/>
    <w:basedOn w:val="DefaultParagraphFont"/>
    <w:qFormat/>
    <w:rPr>
      <w:rFonts w:ascii="Courier New" w:hAnsi="Courier New" w:cs="Courier New"/>
      <w:color w:val="000000"/>
      <w:sz w:val="20"/>
      <w:szCs w:val="20"/>
    </w:rPr>
  </w:style>
  <w:style w:type="character" w:styleId="Sc0">
    <w:name w:val="sc0"/>
    <w:basedOn w:val="DefaultParagraphFont"/>
    <w:qFormat/>
    <w:rPr>
      <w:rFonts w:ascii="Courier New" w:hAnsi="Courier New" w:cs="Courier New"/>
      <w:color w:val="000000"/>
      <w:sz w:val="20"/>
      <w:szCs w:val="20"/>
    </w:rPr>
  </w:style>
  <w:style w:type="character" w:styleId="Sc41">
    <w:name w:val="sc41"/>
    <w:basedOn w:val="DefaultParagraphFont"/>
    <w:qFormat/>
    <w:rPr>
      <w:rFonts w:ascii="Courier New" w:hAnsi="Courier New" w:cs="Courier New"/>
      <w:color w:val="8000FF"/>
      <w:sz w:val="20"/>
      <w:szCs w:val="20"/>
    </w:rPr>
  </w:style>
  <w:style w:type="character" w:styleId="Sc21">
    <w:name w:val="sc21"/>
    <w:basedOn w:val="DefaultParagraphFont"/>
    <w:qFormat/>
    <w:rPr>
      <w:rFonts w:ascii="Courier New" w:hAnsi="Courier New" w:cs="Courier New"/>
      <w:color w:val="800000"/>
      <w:sz w:val="20"/>
      <w:szCs w:val="20"/>
    </w:rPr>
  </w:style>
  <w:style w:type="character" w:styleId="Sc111">
    <w:name w:val="sc111"/>
    <w:basedOn w:val="DefaultParagraphFont"/>
    <w:qFormat/>
    <w:rPr>
      <w:rFonts w:ascii="Courier New" w:hAnsi="Courier New" w:cs="Courier New"/>
      <w:b/>
      <w:bCs/>
      <w:color w:val="18AF8A"/>
      <w:sz w:val="20"/>
      <w:szCs w:val="20"/>
    </w:rPr>
  </w:style>
  <w:style w:type="character" w:styleId="Sc91">
    <w:name w:val="sc91"/>
    <w:basedOn w:val="DefaultParagraphFont"/>
    <w:qFormat/>
    <w:rPr>
      <w:rFonts w:ascii="Courier New" w:hAnsi="Courier New" w:cs="Courier New"/>
      <w:color w:val="0000FF"/>
      <w:sz w:val="20"/>
      <w:szCs w:val="20"/>
    </w:rPr>
  </w:style>
  <w:style w:type="character" w:styleId="Sc121">
    <w:name w:val="sc121"/>
    <w:basedOn w:val="DefaultParagraphFont"/>
    <w:qFormat/>
    <w:rPr>
      <w:rFonts w:ascii="Courier New" w:hAnsi="Courier New" w:cs="Courier New"/>
      <w:color w:val="FF0000"/>
      <w:sz w:val="20"/>
      <w:szCs w:val="20"/>
    </w:rPr>
  </w:style>
  <w:style w:type="character" w:styleId="Sc11">
    <w:name w:val="sc11"/>
    <w:basedOn w:val="DefaultParagraphFont"/>
    <w:qFormat/>
    <w:rPr>
      <w:rFonts w:ascii="Courier New" w:hAnsi="Courier New" w:cs="Courier New"/>
      <w:color w:val="FF8000"/>
      <w:sz w:val="20"/>
      <w:szCs w:val="20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tulogeneral">
    <w:name w:val="Title"/>
    <w:basedOn w:val="Normal"/>
    <w:qFormat/>
    <w:pPr>
      <w:numPr>
        <w:ilvl w:val="0"/>
        <w:numId w:val="0"/>
      </w:numPr>
      <w:spacing w:before="120" w:after="120"/>
      <w:jc w:val="center"/>
      <w:outlineLvl w:val="0"/>
    </w:pPr>
    <w:rPr>
      <w:rFonts w:cs="Arial"/>
      <w:b/>
      <w:bCs/>
      <w:color w:val="404040"/>
      <w:kern w:val="2"/>
      <w:sz w:val="48"/>
      <w:szCs w:val="32"/>
    </w:rPr>
  </w:style>
  <w:style w:type="paragraph" w:styleId="Caption">
    <w:name w:val="caption"/>
    <w:basedOn w:val="Normal"/>
    <w:next w:val="Normal"/>
    <w:qFormat/>
    <w:pPr/>
    <w:rPr>
      <w:b/>
      <w:bCs/>
      <w:szCs w:val="20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pPr>
      <w:tabs>
        <w:tab w:val="clear" w:pos="284"/>
        <w:tab w:val="center" w:pos="4536" w:leader="none"/>
        <w:tab w:val="right" w:pos="9072" w:leader="none"/>
      </w:tabs>
      <w:spacing w:before="0" w:after="0"/>
    </w:pPr>
    <w:rPr/>
  </w:style>
  <w:style w:type="paragraph" w:styleId="Piedepgina">
    <w:name w:val="Footer"/>
    <w:basedOn w:val="Normal"/>
    <w:link w:val="PiedepginaCar"/>
    <w:pPr>
      <w:tabs>
        <w:tab w:val="clear" w:pos="284"/>
        <w:tab w:val="center" w:pos="4536" w:leader="none"/>
        <w:tab w:val="right" w:pos="9072" w:leader="none"/>
      </w:tabs>
      <w:spacing w:before="0" w:after="0"/>
      <w:jc w:val="right"/>
    </w:pPr>
    <w:rPr>
      <w:sz w:val="18"/>
    </w:rPr>
  </w:style>
  <w:style w:type="paragraph" w:styleId="Sumario1">
    <w:name w:val="TOC 1"/>
    <w:basedOn w:val="Sumario3"/>
    <w:next w:val="Normal"/>
    <w:autoRedefine/>
    <w:pPr>
      <w:spacing w:before="120" w:after="120"/>
    </w:pPr>
    <w:rPr>
      <w:b/>
      <w:bCs/>
      <w:color w:val="404040"/>
      <w:sz w:val="20"/>
    </w:rPr>
  </w:style>
  <w:style w:type="paragraph" w:styleId="Sumario3">
    <w:name w:val="TOC 3"/>
    <w:basedOn w:val="Normal"/>
    <w:next w:val="Normal"/>
    <w:autoRedefine/>
    <w:pPr>
      <w:spacing w:before="0" w:after="0"/>
    </w:pPr>
    <w:rPr>
      <w:iCs/>
      <w:color w:val="595959"/>
      <w:sz w:val="18"/>
      <w:szCs w:val="22"/>
    </w:rPr>
  </w:style>
  <w:style w:type="paragraph" w:styleId="Sumario2">
    <w:name w:val="TOC 2"/>
    <w:basedOn w:val="Sumario1"/>
    <w:next w:val="Normal"/>
    <w:autoRedefine/>
    <w:pPr>
      <w:spacing w:before="0" w:after="120"/>
    </w:pPr>
    <w:rPr>
      <w:b w:val="false"/>
      <w:bCs w:val="false"/>
      <w:color w:val="595959"/>
    </w:rPr>
  </w:style>
  <w:style w:type="paragraph" w:styleId="Sumario4">
    <w:name w:val="TOC 4"/>
    <w:basedOn w:val="Normal"/>
    <w:next w:val="Normal"/>
    <w:autoRedefine/>
    <w:pPr>
      <w:spacing w:before="0" w:after="0"/>
      <w:ind w:left="400" w:right="0" w:hanging="0"/>
    </w:pPr>
    <w:rPr>
      <w:sz w:val="18"/>
      <w:szCs w:val="20"/>
    </w:rPr>
  </w:style>
  <w:style w:type="paragraph" w:styleId="Sumario5">
    <w:name w:val="TOC 5"/>
    <w:basedOn w:val="Normal"/>
    <w:next w:val="Normal"/>
    <w:autoRedefine/>
    <w:pPr>
      <w:spacing w:before="0" w:after="0"/>
      <w:ind w:left="600" w:right="0" w:hanging="0"/>
    </w:pPr>
    <w:rPr>
      <w:sz w:val="18"/>
      <w:szCs w:val="20"/>
    </w:rPr>
  </w:style>
  <w:style w:type="paragraph" w:styleId="Sumario6">
    <w:name w:val="TOC 6"/>
    <w:basedOn w:val="Normal"/>
    <w:next w:val="Normal"/>
    <w:autoRedefine/>
    <w:pPr>
      <w:spacing w:before="0" w:after="0"/>
      <w:ind w:left="800" w:right="0" w:hanging="0"/>
    </w:pPr>
    <w:rPr>
      <w:szCs w:val="20"/>
    </w:rPr>
  </w:style>
  <w:style w:type="paragraph" w:styleId="Sumario7">
    <w:name w:val="TOC 7"/>
    <w:basedOn w:val="Normal"/>
    <w:next w:val="Normal"/>
    <w:autoRedefine/>
    <w:pPr>
      <w:spacing w:before="0" w:after="0"/>
      <w:ind w:left="1000" w:right="0" w:hanging="0"/>
    </w:pPr>
    <w:rPr>
      <w:szCs w:val="20"/>
    </w:rPr>
  </w:style>
  <w:style w:type="paragraph" w:styleId="Sumario8">
    <w:name w:val="TOC 8"/>
    <w:basedOn w:val="Normal"/>
    <w:next w:val="Normal"/>
    <w:autoRedefine/>
    <w:pPr>
      <w:spacing w:before="0" w:after="0"/>
      <w:ind w:left="1200" w:right="0" w:hanging="0"/>
    </w:pPr>
    <w:rPr>
      <w:szCs w:val="20"/>
    </w:rPr>
  </w:style>
  <w:style w:type="paragraph" w:styleId="Sumario9">
    <w:name w:val="TOC 9"/>
    <w:basedOn w:val="Normal"/>
    <w:next w:val="Normal"/>
    <w:autoRedefine/>
    <w:pPr>
      <w:spacing w:before="0" w:after="0"/>
      <w:ind w:left="1400" w:right="0" w:hanging="0"/>
    </w:pPr>
    <w:rPr>
      <w:sz w:val="18"/>
      <w:szCs w:val="20"/>
    </w:rPr>
  </w:style>
  <w:style w:type="paragraph" w:styleId="DocumentMap">
    <w:name w:val="Document Map"/>
    <w:basedOn w:val="Normal"/>
    <w:link w:val="MapadeldocumentoCar"/>
    <w:qFormat/>
    <w:pPr>
      <w:spacing w:before="0" w:after="0"/>
    </w:pPr>
    <w:rPr>
      <w:rFonts w:ascii="Lucida Grande" w:hAnsi="Lucida Grande"/>
    </w:rPr>
  </w:style>
  <w:style w:type="paragraph" w:styleId="Ttulodelndice">
    <w:name w:val="Index Heading"/>
    <w:basedOn w:val="Ttulo"/>
    <w:pPr/>
    <w:rPr/>
  </w:style>
  <w:style w:type="paragraph" w:styleId="Ttulodelsumario">
    <w:name w:val="TOC Heading"/>
    <w:basedOn w:val="Ttulo1"/>
    <w:next w:val="Normal"/>
    <w:pPr>
      <w:keepLines/>
      <w:numPr>
        <w:ilvl w:val="0"/>
        <w:numId w:val="0"/>
      </w:numPr>
      <w:tabs>
        <w:tab w:val="clear" w:pos="0"/>
        <w:tab w:val="clear" w:pos="567"/>
      </w:tabs>
      <w:spacing w:lineRule="auto" w:line="276" w:before="480" w:after="0"/>
      <w:ind w:left="431" w:right="0" w:hanging="431"/>
      <w:outlineLvl w:val="9"/>
    </w:pPr>
    <w:rPr>
      <w:rFonts w:eastAsia="ＭＳ ゴシック" w:cs="Times New Roman"/>
      <w:kern w:val="0"/>
      <w:sz w:val="28"/>
      <w:szCs w:val="28"/>
    </w:rPr>
  </w:style>
  <w:style w:type="paragraph" w:styleId="PlainText">
    <w:name w:val="Plain Text"/>
    <w:basedOn w:val="Normal"/>
    <w:qFormat/>
    <w:pPr/>
    <w:rPr>
      <w:rFonts w:ascii="Courier New" w:hAnsi="Courier New" w:cs="Courier New"/>
      <w:szCs w:val="20"/>
    </w:rPr>
  </w:style>
  <w:style w:type="paragraph" w:styleId="SublineHeader">
    <w:name w:val="Subline Header"/>
    <w:basedOn w:val="Ttulogeneral"/>
    <w:qFormat/>
    <w:pPr/>
    <w:rPr>
      <w:b w:val="false"/>
      <w:bCs w:val="false"/>
      <w:color w:val="A6A6A6"/>
      <w:sz w:val="28"/>
      <w:shd w:fill="FFFFFF" w:val="clear"/>
    </w:rPr>
  </w:style>
  <w:style w:type="paragraph" w:styleId="SublineHeaderLevel2">
    <w:name w:val="SublineHeader Level2"/>
    <w:basedOn w:val="SublineHeader"/>
    <w:qFormat/>
    <w:pPr/>
    <w:rPr>
      <w:sz w:val="24"/>
      <w:szCs w:val="24"/>
    </w:rPr>
  </w:style>
  <w:style w:type="paragraph" w:styleId="IntenseQuote">
    <w:name w:val="Intense Quote"/>
    <w:basedOn w:val="Normal"/>
    <w:next w:val="Normal"/>
    <w:link w:val="CitadestacadaCar"/>
    <w:qFormat/>
    <w:pPr>
      <w:pBdr>
        <w:top w:val="single" w:sz="4" w:space="10" w:color="4F81BD"/>
        <w:bottom w:val="single" w:sz="4" w:space="10" w:color="4F81BD"/>
      </w:pBdr>
      <w:spacing w:before="360" w:after="360"/>
      <w:ind w:left="864" w:right="864" w:hanging="0"/>
      <w:jc w:val="center"/>
    </w:pPr>
    <w:rPr>
      <w:i/>
      <w:iCs/>
      <w:color w:val="7F7F7F"/>
    </w:rPr>
  </w:style>
  <w:style w:type="paragraph" w:styleId="ListParagraph">
    <w:name w:val="List Paragraph"/>
    <w:basedOn w:val="Normal"/>
    <w:qFormat/>
    <w:pPr>
      <w:spacing w:before="0" w:after="120"/>
      <w:ind w:left="720" w:right="0" w:hanging="0"/>
      <w:contextualSpacing/>
    </w:pPr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OutlineList2">
    <w:name w:val="Outline List 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2.xml"/><Relationship Id="rId24" Type="http://schemas.openxmlformats.org/officeDocument/2006/relationships/footer" Target="footer2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4437</TotalTime>
  <Application>LibreOffice/7.3.7.2$Linux_X86_64 LibreOffice_project/30$Build-2</Application>
  <AppVersion>15.0000</AppVersion>
  <Pages>27</Pages>
  <Words>1804</Words>
  <Characters>11302</Characters>
  <CharactersWithSpaces>15057</CharactersWithSpaces>
  <Paragraphs>565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2016-10-04T14:03:00Z</dcterms:created>
  <dc:creator>Stefan</dc:creator>
  <dc:description/>
  <dc:language>es-PY</dc:language>
  <cp:lastModifiedBy/>
  <cp:lastPrinted>2022-10-21T17:22:00Z</cp:lastPrinted>
  <dcterms:modified xsi:type="dcterms:W3CDTF">2023-04-26T10:28:32Z</dcterms:modified>
  <cp:revision>212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