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10258" w14:textId="77777777" w:rsidR="00083DCB" w:rsidRDefault="00000000">
      <w:pPr>
        <w:pStyle w:val="Ttulo"/>
      </w:pPr>
      <w:r>
        <w:t>PROYECTO SEMESTRAL – GESTIÓN DE RIESGOS TI</w:t>
      </w:r>
    </w:p>
    <w:p w14:paraId="5EE3DDE2" w14:textId="77777777" w:rsidR="00083DCB" w:rsidRDefault="00000000">
      <w:r>
        <w:t>ENTREGA 4 | Gobernanza, Continuidad del Negocio y Cierre Ejecutivo</w:t>
      </w:r>
    </w:p>
    <w:p w14:paraId="66C400F0" w14:textId="77777777" w:rsidR="00083DCB" w:rsidRDefault="00000000">
      <w:r>
        <w:t>Estudiante: José Herrera  |  Fecha: 30 de octubre de 2026</w:t>
      </w:r>
    </w:p>
    <w:p w14:paraId="0864EF3A" w14:textId="77777777" w:rsidR="00083DCB" w:rsidRDefault="00000000">
      <w:r>
        <w:t>Caso de estudio: contingencia del sistema OSF de facturación</w:t>
      </w:r>
    </w:p>
    <w:p w14:paraId="233A3719" w14:textId="77777777" w:rsidR="00083DCB" w:rsidRDefault="00000000">
      <w:pPr>
        <w:pStyle w:val="Ttulo1"/>
      </w:pPr>
      <w:r>
        <w:t>1. Introducción</w:t>
      </w:r>
    </w:p>
    <w:p w14:paraId="0B608850" w14:textId="77777777" w:rsidR="00083DCB" w:rsidRDefault="00000000">
      <w:r>
        <w:t>En esta última entrega presento mi propuesta para mantener el control de los riesgos tecnológicos del caso OSF después de resolver la contingencia inicial. Considero que no basta con recuperar el sistema: también es necesario definir responsables, comprobar los respaldos, medir los tiempos de respuesta y prevenir que una interrupción vuelva a afectar la facturación. Las medidas descritas son propuestas para el caso académico y no resultados de implementación.</w:t>
      </w:r>
    </w:p>
    <w:p w14:paraId="115A0A74" w14:textId="77777777" w:rsidR="00083DCB" w:rsidRDefault="00000000">
      <w:pPr>
        <w:pStyle w:val="Ttulo1"/>
      </w:pPr>
      <w:r>
        <w:t>2. Gobierno de Riesgos</w:t>
      </w:r>
    </w:p>
    <w:p w14:paraId="464FD01E" w14:textId="77777777" w:rsidR="00083DCB" w:rsidRDefault="00000000">
      <w:r>
        <w:t>Propongo que el Gerente TI lidere un comité de riesgos que revise semanalmente los riesgos críticos y mensualmente los indicadores de continuidad. Ante un incidente P1, el comité debe reunirse inmediatamente y registrar las decisiones tomadas.</w:t>
      </w:r>
    </w:p>
    <w:tbl>
      <w:tblPr>
        <w:tblStyle w:val="Sombreadoclaro-nfasis1"/>
        <w:tblW w:w="0" w:type="auto"/>
        <w:jc w:val="center"/>
        <w:tblLook w:val="04A0" w:firstRow="1" w:lastRow="0" w:firstColumn="1" w:lastColumn="0" w:noHBand="0" w:noVBand="1"/>
      </w:tblPr>
      <w:tblGrid>
        <w:gridCol w:w="4320"/>
        <w:gridCol w:w="4320"/>
      </w:tblGrid>
      <w:tr w:rsidR="00083DCB" w14:paraId="72E3B3FD" w14:textId="77777777" w:rsidTr="00083D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EEFEFC7" w14:textId="77777777" w:rsidR="00083DCB" w:rsidRDefault="00000000">
            <w:r>
              <w:t>Rol</w:t>
            </w:r>
          </w:p>
        </w:tc>
        <w:tc>
          <w:tcPr>
            <w:tcW w:w="4320" w:type="dxa"/>
          </w:tcPr>
          <w:p w14:paraId="55CEA02D" w14:textId="77777777" w:rsidR="00083DCB" w:rsidRDefault="00000000">
            <w:pPr>
              <w:cnfStyle w:val="100000000000" w:firstRow="1" w:lastRow="0" w:firstColumn="0" w:lastColumn="0" w:oddVBand="0" w:evenVBand="0" w:oddHBand="0" w:evenHBand="0" w:firstRowFirstColumn="0" w:firstRowLastColumn="0" w:lastRowFirstColumn="0" w:lastRowLastColumn="0"/>
            </w:pPr>
            <w:r>
              <w:t>Responsabilidad propuesta</w:t>
            </w:r>
          </w:p>
        </w:tc>
      </w:tr>
      <w:tr w:rsidR="00083DCB" w14:paraId="536988EC" w14:textId="77777777" w:rsidTr="00083D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7CE25B" w14:textId="77777777" w:rsidR="00083DCB" w:rsidRDefault="00000000">
            <w:r>
              <w:t>Gerente General</w:t>
            </w:r>
          </w:p>
        </w:tc>
        <w:tc>
          <w:tcPr>
            <w:tcW w:w="4320" w:type="dxa"/>
          </w:tcPr>
          <w:p w14:paraId="660470D5" w14:textId="77777777" w:rsidR="00083DCB" w:rsidRDefault="00000000">
            <w:pPr>
              <w:cnfStyle w:val="000000100000" w:firstRow="0" w:lastRow="0" w:firstColumn="0" w:lastColumn="0" w:oddVBand="0" w:evenVBand="0" w:oddHBand="1" w:evenHBand="0" w:firstRowFirstColumn="0" w:firstRowLastColumn="0" w:lastRowFirstColumn="0" w:lastRowLastColumn="0"/>
            </w:pPr>
            <w:r>
              <w:t>Autorizar recursos y decisiones de alto impacto.</w:t>
            </w:r>
          </w:p>
        </w:tc>
      </w:tr>
      <w:tr w:rsidR="00083DCB" w14:paraId="7B5EAB05" w14:textId="77777777" w:rsidTr="00083DC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12B6B502" w14:textId="77777777" w:rsidR="00083DCB" w:rsidRDefault="00000000">
            <w:r>
              <w:t>Gerente TI</w:t>
            </w:r>
          </w:p>
        </w:tc>
        <w:tc>
          <w:tcPr>
            <w:tcW w:w="4320" w:type="dxa"/>
          </w:tcPr>
          <w:p w14:paraId="064AB717" w14:textId="77777777" w:rsidR="00083DCB" w:rsidRDefault="00000000">
            <w:pPr>
              <w:cnfStyle w:val="000000000000" w:firstRow="0" w:lastRow="0" w:firstColumn="0" w:lastColumn="0" w:oddVBand="0" w:evenVBand="0" w:oddHBand="0" w:evenHBand="0" w:firstRowFirstColumn="0" w:firstRowLastColumn="0" w:lastRowFirstColumn="0" w:lastRowLastColumn="0"/>
            </w:pPr>
            <w:r>
              <w:t>Coordinar comité, priorizar incidentes y aprobar planes.</w:t>
            </w:r>
          </w:p>
        </w:tc>
      </w:tr>
      <w:tr w:rsidR="00083DCB" w14:paraId="78CC2326" w14:textId="77777777" w:rsidTr="00083D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D3CB76" w14:textId="77777777" w:rsidR="00083DCB" w:rsidRDefault="00000000">
            <w:r>
              <w:t>Jefe de Infraestructura</w:t>
            </w:r>
          </w:p>
        </w:tc>
        <w:tc>
          <w:tcPr>
            <w:tcW w:w="4320" w:type="dxa"/>
          </w:tcPr>
          <w:p w14:paraId="4D315664" w14:textId="77777777" w:rsidR="00083DCB" w:rsidRDefault="00000000">
            <w:pPr>
              <w:cnfStyle w:val="000000100000" w:firstRow="0" w:lastRow="0" w:firstColumn="0" w:lastColumn="0" w:oddVBand="0" w:evenVBand="0" w:oddHBand="1" w:evenHBand="0" w:firstRowFirstColumn="0" w:firstRowLastColumn="0" w:lastRowFirstColumn="0" w:lastRowLastColumn="0"/>
            </w:pPr>
            <w:r>
              <w:t>Supervisar servidores y recuperación del servicio OSF.</w:t>
            </w:r>
          </w:p>
        </w:tc>
      </w:tr>
      <w:tr w:rsidR="00083DCB" w14:paraId="5900A0BC" w14:textId="77777777" w:rsidTr="00083DC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4A6D6D6D" w14:textId="77777777" w:rsidR="00083DCB" w:rsidRDefault="00000000">
            <w:r>
              <w:t>DBA</w:t>
            </w:r>
          </w:p>
        </w:tc>
        <w:tc>
          <w:tcPr>
            <w:tcW w:w="4320" w:type="dxa"/>
          </w:tcPr>
          <w:p w14:paraId="630BDBEB" w14:textId="77777777" w:rsidR="00083DCB" w:rsidRDefault="00000000">
            <w:pPr>
              <w:cnfStyle w:val="000000000000" w:firstRow="0" w:lastRow="0" w:firstColumn="0" w:lastColumn="0" w:oddVBand="0" w:evenVBand="0" w:oddHBand="0" w:evenHBand="0" w:firstRowFirstColumn="0" w:firstRowLastColumn="0" w:lastRowFirstColumn="0" w:lastRowLastColumn="0"/>
            </w:pPr>
            <w:r>
              <w:t>Verificar integridad, respaldos y recuperación de la base de datos.</w:t>
            </w:r>
          </w:p>
        </w:tc>
      </w:tr>
      <w:tr w:rsidR="00083DCB" w14:paraId="3BF2BE13" w14:textId="77777777" w:rsidTr="00083D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232863" w14:textId="77777777" w:rsidR="00083DCB" w:rsidRDefault="00000000">
            <w:r>
              <w:t>Seguridad TI</w:t>
            </w:r>
          </w:p>
        </w:tc>
        <w:tc>
          <w:tcPr>
            <w:tcW w:w="4320" w:type="dxa"/>
          </w:tcPr>
          <w:p w14:paraId="47D11A82" w14:textId="77777777" w:rsidR="00083DCB" w:rsidRDefault="00000000">
            <w:pPr>
              <w:cnfStyle w:val="000000100000" w:firstRow="0" w:lastRow="0" w:firstColumn="0" w:lastColumn="0" w:oddVBand="0" w:evenVBand="0" w:oddHBand="1" w:evenHBand="0" w:firstRowFirstColumn="0" w:firstRowLastColumn="0" w:lastRowFirstColumn="0" w:lastRowLastColumn="0"/>
            </w:pPr>
            <w:r>
              <w:t>Revisar vulnerabilidades, accesos y controles preventivos.</w:t>
            </w:r>
          </w:p>
        </w:tc>
      </w:tr>
      <w:tr w:rsidR="00083DCB" w14:paraId="00ADCE9B" w14:textId="77777777" w:rsidTr="00083DCB">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A72B85D" w14:textId="77777777" w:rsidR="00083DCB" w:rsidRDefault="00000000">
            <w:r>
              <w:t>Soporte</w:t>
            </w:r>
          </w:p>
        </w:tc>
        <w:tc>
          <w:tcPr>
            <w:tcW w:w="4320" w:type="dxa"/>
          </w:tcPr>
          <w:p w14:paraId="4E17C357" w14:textId="77777777" w:rsidR="00083DCB" w:rsidRDefault="00000000">
            <w:pPr>
              <w:cnfStyle w:val="000000000000" w:firstRow="0" w:lastRow="0" w:firstColumn="0" w:lastColumn="0" w:oddVBand="0" w:evenVBand="0" w:oddHBand="0" w:evenHBand="0" w:firstRowFirstColumn="0" w:firstRowLastColumn="0" w:lastRowFirstColumn="0" w:lastRowLastColumn="0"/>
            </w:pPr>
            <w:r>
              <w:t>Registrar incidentes en GLPI y comunicar avances.</w:t>
            </w:r>
          </w:p>
        </w:tc>
      </w:tr>
    </w:tbl>
    <w:p w14:paraId="26DBB64D" w14:textId="77777777" w:rsidR="00083DCB" w:rsidRDefault="00000000">
      <w:pPr>
        <w:pStyle w:val="Ttulo1"/>
      </w:pPr>
      <w:r>
        <w:t>3. Plan de Continuidad del Negocio (BCP)</w:t>
      </w:r>
    </w:p>
    <w:p w14:paraId="55ED5EF8" w14:textId="77777777" w:rsidR="00083DCB" w:rsidRDefault="00000000">
      <w:r>
        <w:t>Mi prioridad es que el área de facturación pueda continuar operando o recuperar su actividad con el menor impacto posible. Para ello propongo:</w:t>
      </w:r>
    </w:p>
    <w:p w14:paraId="0E6141E0" w14:textId="77777777" w:rsidR="00083DCB" w:rsidRDefault="00000000">
      <w:r>
        <w:t>• Identificar el sistema OSF y su base de datos como servicios críticos.</w:t>
      </w:r>
    </w:p>
    <w:p w14:paraId="4428EE37" w14:textId="77777777" w:rsidR="00083DCB" w:rsidRDefault="00000000">
      <w:r>
        <w:t>• Documentar el procedimiento de declaración de incidente mayor (P1), responsables y contactos.</w:t>
      </w:r>
    </w:p>
    <w:p w14:paraId="71478487" w14:textId="77777777" w:rsidR="00083DCB" w:rsidRDefault="00000000">
      <w:r>
        <w:lastRenderedPageBreak/>
        <w:t>• Congelar cambios no urgentes durante una caída crítica, incluido mantenimiento Linux.</w:t>
      </w:r>
    </w:p>
    <w:p w14:paraId="5FB412FF" w14:textId="77777777" w:rsidR="00083DCB" w:rsidRDefault="00000000">
      <w:r>
        <w:t>• Configurar respaldos automáticos y comprobar su restauración periódicamente.</w:t>
      </w:r>
    </w:p>
    <w:p w14:paraId="1A49A678" w14:textId="77777777" w:rsidR="00083DCB" w:rsidRDefault="00000000">
      <w:r>
        <w:t>• Preparar un procedimiento manual temporal de registro de operaciones, sujeto a validación del negocio.</w:t>
      </w:r>
    </w:p>
    <w:p w14:paraId="1683F74E" w14:textId="77777777" w:rsidR="00083DCB" w:rsidRDefault="00000000">
      <w:r>
        <w:t>• Realizar dos simulacros anuales y capacitar a Soporte e Infraestructura.</w:t>
      </w:r>
    </w:p>
    <w:p w14:paraId="5FB3172B" w14:textId="77777777" w:rsidR="00083DCB" w:rsidRDefault="00000000">
      <w:pPr>
        <w:pStyle w:val="Ttulo1"/>
      </w:pPr>
      <w:r>
        <w:t>4. Plan de Recuperación ante Desastres (DRP)</w:t>
      </w:r>
    </w:p>
    <w:p w14:paraId="748CB06C" w14:textId="77777777" w:rsidR="00083DCB" w:rsidRDefault="00000000">
      <w:r>
        <w:t>Planteo metas iniciales que deben ser validadas mediante pruebas técnicas y con la dirección de la empresa. No se consideran valores ya alcanzados.</w:t>
      </w:r>
    </w:p>
    <w:tbl>
      <w:tblPr>
        <w:tblStyle w:val="Sombreadoclaro-nfasis1"/>
        <w:tblW w:w="0" w:type="auto"/>
        <w:jc w:val="center"/>
        <w:tblLook w:val="04A0" w:firstRow="1" w:lastRow="0" w:firstColumn="1" w:lastColumn="0" w:noHBand="0" w:noVBand="1"/>
      </w:tblPr>
      <w:tblGrid>
        <w:gridCol w:w="2880"/>
        <w:gridCol w:w="2880"/>
        <w:gridCol w:w="2880"/>
      </w:tblGrid>
      <w:tr w:rsidR="00083DCB" w14:paraId="57B7FD26" w14:textId="77777777" w:rsidTr="00083D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4591D56" w14:textId="77777777" w:rsidR="00083DCB" w:rsidRDefault="00000000">
            <w:r>
              <w:t>Indicador</w:t>
            </w:r>
          </w:p>
        </w:tc>
        <w:tc>
          <w:tcPr>
            <w:tcW w:w="2880" w:type="dxa"/>
          </w:tcPr>
          <w:p w14:paraId="79C7610D" w14:textId="77777777" w:rsidR="00083DCB" w:rsidRDefault="00000000">
            <w:pPr>
              <w:cnfStyle w:val="100000000000" w:firstRow="1" w:lastRow="0" w:firstColumn="0" w:lastColumn="0" w:oddVBand="0" w:evenVBand="0" w:oddHBand="0" w:evenHBand="0" w:firstRowFirstColumn="0" w:firstRowLastColumn="0" w:lastRowFirstColumn="0" w:lastRowLastColumn="0"/>
            </w:pPr>
            <w:r>
              <w:t>Meta propuesta</w:t>
            </w:r>
          </w:p>
        </w:tc>
        <w:tc>
          <w:tcPr>
            <w:tcW w:w="2880" w:type="dxa"/>
          </w:tcPr>
          <w:p w14:paraId="70E336BE" w14:textId="77777777" w:rsidR="00083DCB" w:rsidRDefault="00000000">
            <w:pPr>
              <w:cnfStyle w:val="100000000000" w:firstRow="1" w:lastRow="0" w:firstColumn="0" w:lastColumn="0" w:oddVBand="0" w:evenVBand="0" w:oddHBand="0" w:evenHBand="0" w:firstRowFirstColumn="0" w:firstRowLastColumn="0" w:lastRowFirstColumn="0" w:lastRowLastColumn="0"/>
            </w:pPr>
            <w:r>
              <w:t>Verificación</w:t>
            </w:r>
          </w:p>
        </w:tc>
      </w:tr>
      <w:tr w:rsidR="00083DCB" w14:paraId="43DF26D7" w14:textId="77777777" w:rsidTr="00083D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778AD3" w14:textId="77777777" w:rsidR="00083DCB" w:rsidRDefault="00000000">
            <w:r>
              <w:t>RTO</w:t>
            </w:r>
          </w:p>
        </w:tc>
        <w:tc>
          <w:tcPr>
            <w:tcW w:w="2880" w:type="dxa"/>
          </w:tcPr>
          <w:p w14:paraId="2D158956" w14:textId="77777777" w:rsidR="00083DCB" w:rsidRDefault="00000000">
            <w:pPr>
              <w:cnfStyle w:val="000000100000" w:firstRow="0" w:lastRow="0" w:firstColumn="0" w:lastColumn="0" w:oddVBand="0" w:evenVBand="0" w:oddHBand="1" w:evenHBand="0" w:firstRowFirstColumn="0" w:firstRowLastColumn="0" w:lastRowFirstColumn="0" w:lastRowLastColumn="0"/>
            </w:pPr>
            <w:r>
              <w:t>30 minutos</w:t>
            </w:r>
          </w:p>
        </w:tc>
        <w:tc>
          <w:tcPr>
            <w:tcW w:w="2880" w:type="dxa"/>
          </w:tcPr>
          <w:p w14:paraId="2E426310" w14:textId="77777777" w:rsidR="00083DCB" w:rsidRDefault="00000000">
            <w:pPr>
              <w:cnfStyle w:val="000000100000" w:firstRow="0" w:lastRow="0" w:firstColumn="0" w:lastColumn="0" w:oddVBand="0" w:evenVBand="0" w:oddHBand="1" w:evenHBand="0" w:firstRowFirstColumn="0" w:firstRowLastColumn="0" w:lastRowFirstColumn="0" w:lastRowLastColumn="0"/>
            </w:pPr>
            <w:r>
              <w:t>Simulacro de restauración del servicio.</w:t>
            </w:r>
          </w:p>
        </w:tc>
      </w:tr>
      <w:tr w:rsidR="00083DCB" w14:paraId="325B9B2E" w14:textId="77777777" w:rsidTr="00083DC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62E1F1A0" w14:textId="77777777" w:rsidR="00083DCB" w:rsidRDefault="00000000">
            <w:r>
              <w:t>RPO</w:t>
            </w:r>
          </w:p>
        </w:tc>
        <w:tc>
          <w:tcPr>
            <w:tcW w:w="2880" w:type="dxa"/>
          </w:tcPr>
          <w:p w14:paraId="10FF7A11" w14:textId="77777777" w:rsidR="00083DCB" w:rsidRDefault="00000000">
            <w:pPr>
              <w:cnfStyle w:val="000000000000" w:firstRow="0" w:lastRow="0" w:firstColumn="0" w:lastColumn="0" w:oddVBand="0" w:evenVBand="0" w:oddHBand="0" w:evenHBand="0" w:firstRowFirstColumn="0" w:firstRowLastColumn="0" w:lastRowFirstColumn="0" w:lastRowLastColumn="0"/>
            </w:pPr>
            <w:r>
              <w:t>15 minutos</w:t>
            </w:r>
          </w:p>
        </w:tc>
        <w:tc>
          <w:tcPr>
            <w:tcW w:w="2880" w:type="dxa"/>
          </w:tcPr>
          <w:p w14:paraId="33FAAA14" w14:textId="77777777" w:rsidR="00083DCB" w:rsidRDefault="00000000">
            <w:pPr>
              <w:cnfStyle w:val="000000000000" w:firstRow="0" w:lastRow="0" w:firstColumn="0" w:lastColumn="0" w:oddVBand="0" w:evenVBand="0" w:oddHBand="0" w:evenHBand="0" w:firstRowFirstColumn="0" w:firstRowLastColumn="0" w:lastRowFirstColumn="0" w:lastRowLastColumn="0"/>
            </w:pPr>
            <w:r>
              <w:t>Prueba de recuperación y revisión de pérdida de datos.</w:t>
            </w:r>
          </w:p>
        </w:tc>
      </w:tr>
      <w:tr w:rsidR="00083DCB" w14:paraId="180C63DB" w14:textId="77777777" w:rsidTr="00083D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F5D0C59" w14:textId="77777777" w:rsidR="00083DCB" w:rsidRDefault="00000000">
            <w:r>
              <w:t>Disponibilidad</w:t>
            </w:r>
          </w:p>
        </w:tc>
        <w:tc>
          <w:tcPr>
            <w:tcW w:w="2880" w:type="dxa"/>
          </w:tcPr>
          <w:p w14:paraId="2FAFADF7" w14:textId="77777777" w:rsidR="00083DCB" w:rsidRDefault="00000000">
            <w:pPr>
              <w:cnfStyle w:val="000000100000" w:firstRow="0" w:lastRow="0" w:firstColumn="0" w:lastColumn="0" w:oddVBand="0" w:evenVBand="0" w:oddHBand="1" w:evenHBand="0" w:firstRowFirstColumn="0" w:firstRowLastColumn="0" w:lastRowFirstColumn="0" w:lastRowLastColumn="0"/>
            </w:pPr>
            <w:r>
              <w:t>99,9 %</w:t>
            </w:r>
          </w:p>
        </w:tc>
        <w:tc>
          <w:tcPr>
            <w:tcW w:w="2880" w:type="dxa"/>
          </w:tcPr>
          <w:p w14:paraId="01B1AB7C" w14:textId="77777777" w:rsidR="00083DCB" w:rsidRDefault="00000000">
            <w:pPr>
              <w:cnfStyle w:val="000000100000" w:firstRow="0" w:lastRow="0" w:firstColumn="0" w:lastColumn="0" w:oddVBand="0" w:evenVBand="0" w:oddHBand="1" w:evenHBand="0" w:firstRowFirstColumn="0" w:firstRowLastColumn="0" w:lastRowFirstColumn="0" w:lastRowLastColumn="0"/>
            </w:pPr>
            <w:r>
              <w:t>Monitoreo mensual del sistema OSF.</w:t>
            </w:r>
          </w:p>
        </w:tc>
      </w:tr>
      <w:tr w:rsidR="00083DCB" w14:paraId="7D838072" w14:textId="77777777" w:rsidTr="00083DC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E5F77B1" w14:textId="77777777" w:rsidR="00083DCB" w:rsidRDefault="00000000">
            <w:r>
              <w:t>Respaldos</w:t>
            </w:r>
          </w:p>
        </w:tc>
        <w:tc>
          <w:tcPr>
            <w:tcW w:w="2880" w:type="dxa"/>
          </w:tcPr>
          <w:p w14:paraId="1F7F9573" w14:textId="77777777" w:rsidR="00083DCB" w:rsidRDefault="00000000">
            <w:pPr>
              <w:cnfStyle w:val="000000000000" w:firstRow="0" w:lastRow="0" w:firstColumn="0" w:lastColumn="0" w:oddVBand="0" w:evenVBand="0" w:oddHBand="0" w:evenHBand="0" w:firstRowFirstColumn="0" w:firstRowLastColumn="0" w:lastRowFirstColumn="0" w:lastRowLastColumn="0"/>
            </w:pPr>
            <w:r>
              <w:t>Diarios, 100 % ejecutados</w:t>
            </w:r>
          </w:p>
        </w:tc>
        <w:tc>
          <w:tcPr>
            <w:tcW w:w="2880" w:type="dxa"/>
          </w:tcPr>
          <w:p w14:paraId="7C950F93" w14:textId="77777777" w:rsidR="00083DCB" w:rsidRDefault="00000000">
            <w:pPr>
              <w:cnfStyle w:val="000000000000" w:firstRow="0" w:lastRow="0" w:firstColumn="0" w:lastColumn="0" w:oddVBand="0" w:evenVBand="0" w:oddHBand="0" w:evenHBand="0" w:firstRowFirstColumn="0" w:firstRowLastColumn="0" w:lastRowFirstColumn="0" w:lastRowLastColumn="0"/>
            </w:pPr>
            <w:r>
              <w:t>Registro automático y verificación de integridad.</w:t>
            </w:r>
          </w:p>
        </w:tc>
      </w:tr>
      <w:tr w:rsidR="00083DCB" w14:paraId="1E741D1E" w14:textId="77777777" w:rsidTr="00083D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8E393F8" w14:textId="77777777" w:rsidR="00083DCB" w:rsidRDefault="00000000">
            <w:r>
              <w:t>Pruebas DRP</w:t>
            </w:r>
          </w:p>
        </w:tc>
        <w:tc>
          <w:tcPr>
            <w:tcW w:w="2880" w:type="dxa"/>
          </w:tcPr>
          <w:p w14:paraId="0DB062FE" w14:textId="77777777" w:rsidR="00083DCB" w:rsidRDefault="00000000">
            <w:pPr>
              <w:cnfStyle w:val="000000100000" w:firstRow="0" w:lastRow="0" w:firstColumn="0" w:lastColumn="0" w:oddVBand="0" w:evenVBand="0" w:oddHBand="1" w:evenHBand="0" w:firstRowFirstColumn="0" w:firstRowLastColumn="0" w:lastRowFirstColumn="0" w:lastRowLastColumn="0"/>
            </w:pPr>
            <w:r>
              <w:t>Cada seis meses</w:t>
            </w:r>
          </w:p>
        </w:tc>
        <w:tc>
          <w:tcPr>
            <w:tcW w:w="2880" w:type="dxa"/>
          </w:tcPr>
          <w:p w14:paraId="42D27234" w14:textId="77777777" w:rsidR="00083DCB" w:rsidRDefault="00000000">
            <w:pPr>
              <w:cnfStyle w:val="000000100000" w:firstRow="0" w:lastRow="0" w:firstColumn="0" w:lastColumn="0" w:oddVBand="0" w:evenVBand="0" w:oddHBand="1" w:evenHBand="0" w:firstRowFirstColumn="0" w:firstRowLastColumn="0" w:lastRowFirstColumn="0" w:lastRowLastColumn="0"/>
            </w:pPr>
            <w:r>
              <w:t>Acta de resultados y acciones correctivas.</w:t>
            </w:r>
          </w:p>
        </w:tc>
      </w:tr>
    </w:tbl>
    <w:p w14:paraId="678DD4C6" w14:textId="77777777" w:rsidR="00083DCB" w:rsidRDefault="00000000">
      <w:r>
        <w:t>Secuencia de recuperación: 1) declarar incidente P1; 2) diagnosticar infraestructura y base de datos; 3) activar entorno o respaldo disponible; 4) validar integridad y facturación; 5) informar restablecimiento; 6) documentar causa raíz.</w:t>
      </w:r>
    </w:p>
    <w:p w14:paraId="472897B5" w14:textId="77777777" w:rsidR="00083DCB" w:rsidRDefault="00000000">
      <w:pPr>
        <w:pStyle w:val="Ttulo1"/>
      </w:pPr>
      <w:r>
        <w:t>5. Indicadores (KPI)</w:t>
      </w:r>
    </w:p>
    <w:tbl>
      <w:tblPr>
        <w:tblStyle w:val="Sombreadoclaro-nfasis1"/>
        <w:tblW w:w="0" w:type="auto"/>
        <w:jc w:val="center"/>
        <w:tblLook w:val="04A0" w:firstRow="1" w:lastRow="0" w:firstColumn="1" w:lastColumn="0" w:noHBand="0" w:noVBand="1"/>
      </w:tblPr>
      <w:tblGrid>
        <w:gridCol w:w="2880"/>
        <w:gridCol w:w="2880"/>
        <w:gridCol w:w="2880"/>
      </w:tblGrid>
      <w:tr w:rsidR="00083DCB" w14:paraId="6BDA6608" w14:textId="77777777" w:rsidTr="00083D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50C42E" w14:textId="77777777" w:rsidR="00083DCB" w:rsidRDefault="00000000">
            <w:r>
              <w:t>Indicador</w:t>
            </w:r>
          </w:p>
        </w:tc>
        <w:tc>
          <w:tcPr>
            <w:tcW w:w="2880" w:type="dxa"/>
          </w:tcPr>
          <w:p w14:paraId="64831936" w14:textId="77777777" w:rsidR="00083DCB" w:rsidRDefault="00000000">
            <w:pPr>
              <w:cnfStyle w:val="100000000000" w:firstRow="1" w:lastRow="0" w:firstColumn="0" w:lastColumn="0" w:oddVBand="0" w:evenVBand="0" w:oddHBand="0" w:evenHBand="0" w:firstRowFirstColumn="0" w:firstRowLastColumn="0" w:lastRowFirstColumn="0" w:lastRowLastColumn="0"/>
            </w:pPr>
            <w:r>
              <w:t>Objetivo propuesto</w:t>
            </w:r>
          </w:p>
        </w:tc>
        <w:tc>
          <w:tcPr>
            <w:tcW w:w="2880" w:type="dxa"/>
          </w:tcPr>
          <w:p w14:paraId="146B1A3E" w14:textId="77777777" w:rsidR="00083DCB" w:rsidRDefault="00000000">
            <w:pPr>
              <w:cnfStyle w:val="100000000000" w:firstRow="1" w:lastRow="0" w:firstColumn="0" w:lastColumn="0" w:oddVBand="0" w:evenVBand="0" w:oddHBand="0" w:evenHBand="0" w:firstRowFirstColumn="0" w:firstRowLastColumn="0" w:lastRowFirstColumn="0" w:lastRowLastColumn="0"/>
            </w:pPr>
            <w:r>
              <w:t>Cómo lo mediría</w:t>
            </w:r>
          </w:p>
        </w:tc>
      </w:tr>
      <w:tr w:rsidR="00083DCB" w14:paraId="0D704484" w14:textId="77777777" w:rsidTr="00083D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48932E0" w14:textId="77777777" w:rsidR="00083DCB" w:rsidRDefault="00000000">
            <w:r>
              <w:t>Cumplimiento SLA</w:t>
            </w:r>
          </w:p>
        </w:tc>
        <w:tc>
          <w:tcPr>
            <w:tcW w:w="2880" w:type="dxa"/>
          </w:tcPr>
          <w:p w14:paraId="0E71797E" w14:textId="77777777" w:rsidR="00083DCB" w:rsidRDefault="00000000">
            <w:pPr>
              <w:cnfStyle w:val="000000100000" w:firstRow="0" w:lastRow="0" w:firstColumn="0" w:lastColumn="0" w:oddVBand="0" w:evenVBand="0" w:oddHBand="1" w:evenHBand="0" w:firstRowFirstColumn="0" w:firstRowLastColumn="0" w:lastRowFirstColumn="0" w:lastRowLastColumn="0"/>
            </w:pPr>
            <w:r>
              <w:t>Superior al 95 %</w:t>
            </w:r>
          </w:p>
        </w:tc>
        <w:tc>
          <w:tcPr>
            <w:tcW w:w="2880" w:type="dxa"/>
          </w:tcPr>
          <w:p w14:paraId="324EA081" w14:textId="77777777" w:rsidR="00083DCB" w:rsidRDefault="00000000">
            <w:pPr>
              <w:cnfStyle w:val="000000100000" w:firstRow="0" w:lastRow="0" w:firstColumn="0" w:lastColumn="0" w:oddVBand="0" w:evenVBand="0" w:oddHBand="1" w:evenHBand="0" w:firstRowFirstColumn="0" w:firstRowLastColumn="0" w:lastRowFirstColumn="0" w:lastRowLastColumn="0"/>
            </w:pPr>
            <w:r>
              <w:t>Incidentes atendidos dentro del SLA / total.</w:t>
            </w:r>
          </w:p>
        </w:tc>
      </w:tr>
      <w:tr w:rsidR="00083DCB" w14:paraId="53BC9177" w14:textId="77777777" w:rsidTr="00083DC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70132A7" w14:textId="77777777" w:rsidR="00083DCB" w:rsidRDefault="00000000">
            <w:r>
              <w:t>Disponibilidad OSF</w:t>
            </w:r>
          </w:p>
        </w:tc>
        <w:tc>
          <w:tcPr>
            <w:tcW w:w="2880" w:type="dxa"/>
          </w:tcPr>
          <w:p w14:paraId="7400FB12" w14:textId="77777777" w:rsidR="00083DCB" w:rsidRDefault="00000000">
            <w:pPr>
              <w:cnfStyle w:val="000000000000" w:firstRow="0" w:lastRow="0" w:firstColumn="0" w:lastColumn="0" w:oddVBand="0" w:evenVBand="0" w:oddHBand="0" w:evenHBand="0" w:firstRowFirstColumn="0" w:firstRowLastColumn="0" w:lastRowFirstColumn="0" w:lastRowLastColumn="0"/>
            </w:pPr>
            <w:r>
              <w:t>Al menos 99,9 %</w:t>
            </w:r>
          </w:p>
        </w:tc>
        <w:tc>
          <w:tcPr>
            <w:tcW w:w="2880" w:type="dxa"/>
          </w:tcPr>
          <w:p w14:paraId="64ACC98A" w14:textId="77777777" w:rsidR="00083DCB" w:rsidRDefault="00000000">
            <w:pPr>
              <w:cnfStyle w:val="000000000000" w:firstRow="0" w:lastRow="0" w:firstColumn="0" w:lastColumn="0" w:oddVBand="0" w:evenVBand="0" w:oddHBand="0" w:evenHBand="0" w:firstRowFirstColumn="0" w:firstRowLastColumn="0" w:lastRowFirstColumn="0" w:lastRowLastColumn="0"/>
            </w:pPr>
            <w:r>
              <w:t>Tiempo disponible / tiempo total.</w:t>
            </w:r>
          </w:p>
        </w:tc>
      </w:tr>
      <w:tr w:rsidR="00083DCB" w14:paraId="5B4E0F1F" w14:textId="77777777" w:rsidTr="00083D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4257660" w14:textId="77777777" w:rsidR="00083DCB" w:rsidRDefault="00000000">
            <w:r>
              <w:t>MTTR</w:t>
            </w:r>
          </w:p>
        </w:tc>
        <w:tc>
          <w:tcPr>
            <w:tcW w:w="2880" w:type="dxa"/>
          </w:tcPr>
          <w:p w14:paraId="2C3AE2D2" w14:textId="77777777" w:rsidR="00083DCB" w:rsidRDefault="00000000">
            <w:pPr>
              <w:cnfStyle w:val="000000100000" w:firstRow="0" w:lastRow="0" w:firstColumn="0" w:lastColumn="0" w:oddVBand="0" w:evenVBand="0" w:oddHBand="1" w:evenHBand="0" w:firstRowFirstColumn="0" w:firstRowLastColumn="0" w:lastRowFirstColumn="0" w:lastRowLastColumn="0"/>
            </w:pPr>
            <w:r>
              <w:t>Menor a 30 minutos</w:t>
            </w:r>
          </w:p>
        </w:tc>
        <w:tc>
          <w:tcPr>
            <w:tcW w:w="2880" w:type="dxa"/>
          </w:tcPr>
          <w:p w14:paraId="6A1C50A1" w14:textId="77777777" w:rsidR="00083DCB" w:rsidRDefault="00000000">
            <w:pPr>
              <w:cnfStyle w:val="000000100000" w:firstRow="0" w:lastRow="0" w:firstColumn="0" w:lastColumn="0" w:oddVBand="0" w:evenVBand="0" w:oddHBand="1" w:evenHBand="0" w:firstRowFirstColumn="0" w:firstRowLastColumn="0" w:lastRowFirstColumn="0" w:lastRowLastColumn="0"/>
            </w:pPr>
            <w:r>
              <w:t>Promedio de duración de incidentes.</w:t>
            </w:r>
          </w:p>
        </w:tc>
      </w:tr>
      <w:tr w:rsidR="00083DCB" w14:paraId="0DE860E5" w14:textId="77777777" w:rsidTr="00083DC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CA701E9" w14:textId="77777777" w:rsidR="00083DCB" w:rsidRDefault="00000000">
            <w:r>
              <w:t>MTTD</w:t>
            </w:r>
          </w:p>
        </w:tc>
        <w:tc>
          <w:tcPr>
            <w:tcW w:w="2880" w:type="dxa"/>
          </w:tcPr>
          <w:p w14:paraId="0E0125D5" w14:textId="77777777" w:rsidR="00083DCB" w:rsidRDefault="00000000">
            <w:pPr>
              <w:cnfStyle w:val="000000000000" w:firstRow="0" w:lastRow="0" w:firstColumn="0" w:lastColumn="0" w:oddVBand="0" w:evenVBand="0" w:oddHBand="0" w:evenHBand="0" w:firstRowFirstColumn="0" w:firstRowLastColumn="0" w:lastRowFirstColumn="0" w:lastRowLastColumn="0"/>
            </w:pPr>
            <w:r>
              <w:t>Menor a 10 minutos</w:t>
            </w:r>
          </w:p>
        </w:tc>
        <w:tc>
          <w:tcPr>
            <w:tcW w:w="2880" w:type="dxa"/>
          </w:tcPr>
          <w:p w14:paraId="5D151C37" w14:textId="77777777" w:rsidR="00083DCB" w:rsidRDefault="00000000">
            <w:pPr>
              <w:cnfStyle w:val="000000000000" w:firstRow="0" w:lastRow="0" w:firstColumn="0" w:lastColumn="0" w:oddVBand="0" w:evenVBand="0" w:oddHBand="0" w:evenHBand="0" w:firstRowFirstColumn="0" w:firstRowLastColumn="0" w:lastRowFirstColumn="0" w:lastRowLastColumn="0"/>
            </w:pPr>
            <w:r>
              <w:t>Promedio entre inicio y detección.</w:t>
            </w:r>
          </w:p>
        </w:tc>
      </w:tr>
      <w:tr w:rsidR="00083DCB" w14:paraId="0D439651" w14:textId="77777777" w:rsidTr="00083D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6D9EEC9" w14:textId="77777777" w:rsidR="00083DCB" w:rsidRDefault="00000000">
            <w:r>
              <w:t>Incidentes críticos</w:t>
            </w:r>
          </w:p>
        </w:tc>
        <w:tc>
          <w:tcPr>
            <w:tcW w:w="2880" w:type="dxa"/>
          </w:tcPr>
          <w:p w14:paraId="11AA5456" w14:textId="77777777" w:rsidR="00083DCB" w:rsidRDefault="00000000">
            <w:pPr>
              <w:cnfStyle w:val="000000100000" w:firstRow="0" w:lastRow="0" w:firstColumn="0" w:lastColumn="0" w:oddVBand="0" w:evenVBand="0" w:oddHBand="1" w:evenHBand="0" w:firstRowFirstColumn="0" w:firstRowLastColumn="0" w:lastRowFirstColumn="0" w:lastRowLastColumn="0"/>
            </w:pPr>
            <w:r>
              <w:t>Disminución mensual</w:t>
            </w:r>
          </w:p>
        </w:tc>
        <w:tc>
          <w:tcPr>
            <w:tcW w:w="2880" w:type="dxa"/>
          </w:tcPr>
          <w:p w14:paraId="4E722D60" w14:textId="77777777" w:rsidR="00083DCB" w:rsidRDefault="00000000">
            <w:pPr>
              <w:cnfStyle w:val="000000100000" w:firstRow="0" w:lastRow="0" w:firstColumn="0" w:lastColumn="0" w:oddVBand="0" w:evenVBand="0" w:oddHBand="1" w:evenHBand="0" w:firstRowFirstColumn="0" w:firstRowLastColumn="0" w:lastRowFirstColumn="0" w:lastRowLastColumn="0"/>
            </w:pPr>
            <w:r>
              <w:t>Conteo de incidentes P1 en GLPI.</w:t>
            </w:r>
          </w:p>
        </w:tc>
      </w:tr>
    </w:tbl>
    <w:p w14:paraId="74EA5E1D" w14:textId="77777777" w:rsidR="00083DCB" w:rsidRDefault="00000000">
      <w:pPr>
        <w:pStyle w:val="Ttulo1"/>
      </w:pPr>
      <w:r>
        <w:t>6. Lecciones Aprendidas</w:t>
      </w:r>
    </w:p>
    <w:p w14:paraId="5E2983AE" w14:textId="77777777" w:rsidR="00083DCB" w:rsidRDefault="00000000">
      <w:r>
        <w:t xml:space="preserve">De las entregas anteriores concluyo que la caída del OSF debe tener prioridad sobre tareas programadas, porque afecta directamente la facturación. También aprendí que realizar mantenimiento Linux durante una crisis puede agravar el problema; por eso preferiría postergarlo hasta estabilizar la plataforma. La base de datos requiere atención especial por su condición de </w:t>
      </w:r>
      <w:r>
        <w:lastRenderedPageBreak/>
        <w:t>posible punto único de falla. Finalmente, mantener informada a la Dirección Comercial es tan importante como la coordinación técnica, ya que permite tomar decisiones mientras se recupera el servicio.</w:t>
      </w:r>
    </w:p>
    <w:p w14:paraId="79ADA1DE" w14:textId="77777777" w:rsidR="00083DCB" w:rsidRDefault="00000000">
      <w:pPr>
        <w:pStyle w:val="Ttulo1"/>
      </w:pPr>
      <w:r>
        <w:t>7. Roadmap de Implementación</w:t>
      </w:r>
    </w:p>
    <w:tbl>
      <w:tblPr>
        <w:tblStyle w:val="Sombreadoclaro-nfasis1"/>
        <w:tblW w:w="0" w:type="auto"/>
        <w:jc w:val="center"/>
        <w:tblLook w:val="04A0" w:firstRow="1" w:lastRow="0" w:firstColumn="1" w:lastColumn="0" w:noHBand="0" w:noVBand="1"/>
      </w:tblPr>
      <w:tblGrid>
        <w:gridCol w:w="2880"/>
        <w:gridCol w:w="2880"/>
        <w:gridCol w:w="2880"/>
      </w:tblGrid>
      <w:tr w:rsidR="00083DCB" w14:paraId="554D2D2C" w14:textId="77777777" w:rsidTr="00083DC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527C4ED" w14:textId="77777777" w:rsidR="00083DCB" w:rsidRDefault="00000000">
            <w:r>
              <w:t>Horizonte</w:t>
            </w:r>
          </w:p>
        </w:tc>
        <w:tc>
          <w:tcPr>
            <w:tcW w:w="2880" w:type="dxa"/>
          </w:tcPr>
          <w:p w14:paraId="31BA7491" w14:textId="77777777" w:rsidR="00083DCB" w:rsidRDefault="00000000">
            <w:pPr>
              <w:cnfStyle w:val="100000000000" w:firstRow="1" w:lastRow="0" w:firstColumn="0" w:lastColumn="0" w:oddVBand="0" w:evenVBand="0" w:oddHBand="0" w:evenHBand="0" w:firstRowFirstColumn="0" w:firstRowLastColumn="0" w:lastRowFirstColumn="0" w:lastRowLastColumn="0"/>
            </w:pPr>
            <w:r>
              <w:t>Acciones propuestas</w:t>
            </w:r>
          </w:p>
        </w:tc>
        <w:tc>
          <w:tcPr>
            <w:tcW w:w="2880" w:type="dxa"/>
          </w:tcPr>
          <w:p w14:paraId="5916A88E" w14:textId="77777777" w:rsidR="00083DCB" w:rsidRDefault="00000000">
            <w:pPr>
              <w:cnfStyle w:val="100000000000" w:firstRow="1" w:lastRow="0" w:firstColumn="0" w:lastColumn="0" w:oddVBand="0" w:evenVBand="0" w:oddHBand="0" w:evenHBand="0" w:firstRowFirstColumn="0" w:firstRowLastColumn="0" w:lastRowFirstColumn="0" w:lastRowLastColumn="0"/>
            </w:pPr>
            <w:r>
              <w:t>Resultado esperado</w:t>
            </w:r>
          </w:p>
        </w:tc>
      </w:tr>
      <w:tr w:rsidR="00083DCB" w14:paraId="37880C23" w14:textId="77777777" w:rsidTr="00083D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CCAC5CF" w14:textId="77777777" w:rsidR="00083DCB" w:rsidRDefault="00000000">
            <w:r>
              <w:t>0–3 meses</w:t>
            </w:r>
          </w:p>
        </w:tc>
        <w:tc>
          <w:tcPr>
            <w:tcW w:w="2880" w:type="dxa"/>
          </w:tcPr>
          <w:p w14:paraId="5A133AFD" w14:textId="77777777" w:rsidR="00083DCB" w:rsidRDefault="00000000">
            <w:pPr>
              <w:cnfStyle w:val="000000100000" w:firstRow="0" w:lastRow="0" w:firstColumn="0" w:lastColumn="0" w:oddVBand="0" w:evenVBand="0" w:oddHBand="1" w:evenHBand="0" w:firstRowFirstColumn="0" w:firstRowLastColumn="0" w:lastRowFirstColumn="0" w:lastRowLastColumn="0"/>
            </w:pPr>
            <w:r>
              <w:t>Actualizar matriz de riesgos, formalizar comité, revisar GLPI y respaldos.</w:t>
            </w:r>
          </w:p>
        </w:tc>
        <w:tc>
          <w:tcPr>
            <w:tcW w:w="2880" w:type="dxa"/>
          </w:tcPr>
          <w:p w14:paraId="2ECADCDE" w14:textId="77777777" w:rsidR="00083DCB" w:rsidRDefault="00000000">
            <w:pPr>
              <w:cnfStyle w:val="000000100000" w:firstRow="0" w:lastRow="0" w:firstColumn="0" w:lastColumn="0" w:oddVBand="0" w:evenVBand="0" w:oddHBand="1" w:evenHBand="0" w:firstRowFirstColumn="0" w:firstRowLastColumn="0" w:lastRowFirstColumn="0" w:lastRowLastColumn="0"/>
            </w:pPr>
            <w:r>
              <w:t>Mayor visibilidad y orden en la respuesta.</w:t>
            </w:r>
          </w:p>
        </w:tc>
      </w:tr>
      <w:tr w:rsidR="00083DCB" w14:paraId="0A928BBE" w14:textId="77777777" w:rsidTr="00083DC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79466C3C" w14:textId="77777777" w:rsidR="00083DCB" w:rsidRDefault="00000000">
            <w:r>
              <w:t>3–6 meses</w:t>
            </w:r>
          </w:p>
        </w:tc>
        <w:tc>
          <w:tcPr>
            <w:tcW w:w="2880" w:type="dxa"/>
          </w:tcPr>
          <w:p w14:paraId="1DB32B9E" w14:textId="77777777" w:rsidR="00083DCB" w:rsidRDefault="00000000">
            <w:pPr>
              <w:cnfStyle w:val="000000000000" w:firstRow="0" w:lastRow="0" w:firstColumn="0" w:lastColumn="0" w:oddVBand="0" w:evenVBand="0" w:oddHBand="0" w:evenHBand="0" w:firstRowFirstColumn="0" w:firstRowLastColumn="0" w:lastRowFirstColumn="0" w:lastRowLastColumn="0"/>
            </w:pPr>
            <w:r>
              <w:t>Evaluar alta disponibilidad de base de datos y monitoreo centralizado.</w:t>
            </w:r>
          </w:p>
        </w:tc>
        <w:tc>
          <w:tcPr>
            <w:tcW w:w="2880" w:type="dxa"/>
          </w:tcPr>
          <w:p w14:paraId="7D9CFC93" w14:textId="77777777" w:rsidR="00083DCB" w:rsidRDefault="00000000">
            <w:pPr>
              <w:cnfStyle w:val="000000000000" w:firstRow="0" w:lastRow="0" w:firstColumn="0" w:lastColumn="0" w:oddVBand="0" w:evenVBand="0" w:oddHBand="0" w:evenHBand="0" w:firstRowFirstColumn="0" w:firstRowLastColumn="0" w:lastRowFirstColumn="0" w:lastRowLastColumn="0"/>
            </w:pPr>
            <w:r>
              <w:t>Menor exposición a interrupciones.</w:t>
            </w:r>
          </w:p>
        </w:tc>
      </w:tr>
      <w:tr w:rsidR="00083DCB" w14:paraId="52E277E7" w14:textId="77777777" w:rsidTr="00083D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307A0B6" w14:textId="77777777" w:rsidR="00083DCB" w:rsidRDefault="00000000">
            <w:r>
              <w:t>6–12 meses</w:t>
            </w:r>
          </w:p>
        </w:tc>
        <w:tc>
          <w:tcPr>
            <w:tcW w:w="2880" w:type="dxa"/>
          </w:tcPr>
          <w:p w14:paraId="46AD31CB" w14:textId="77777777" w:rsidR="00083DCB" w:rsidRDefault="00000000">
            <w:pPr>
              <w:cnfStyle w:val="000000100000" w:firstRow="0" w:lastRow="0" w:firstColumn="0" w:lastColumn="0" w:oddVBand="0" w:evenVBand="0" w:oddHBand="1" w:evenHBand="0" w:firstRowFirstColumn="0" w:firstRowLastColumn="0" w:lastRowFirstColumn="0" w:lastRowLastColumn="0"/>
            </w:pPr>
            <w:r>
              <w:t>Probar BCP/DRP, capacitar personal y auditar controles.</w:t>
            </w:r>
          </w:p>
        </w:tc>
        <w:tc>
          <w:tcPr>
            <w:tcW w:w="2880" w:type="dxa"/>
          </w:tcPr>
          <w:p w14:paraId="7D5C241D" w14:textId="77777777" w:rsidR="00083DCB" w:rsidRDefault="00000000">
            <w:pPr>
              <w:cnfStyle w:val="000000100000" w:firstRow="0" w:lastRow="0" w:firstColumn="0" w:lastColumn="0" w:oddVBand="0" w:evenVBand="0" w:oddHBand="1" w:evenHBand="0" w:firstRowFirstColumn="0" w:firstRowLastColumn="0" w:lastRowFirstColumn="0" w:lastRowLastColumn="0"/>
            </w:pPr>
            <w:r>
              <w:t>Recuperación más predecible y mejora continua.</w:t>
            </w:r>
          </w:p>
        </w:tc>
      </w:tr>
    </w:tbl>
    <w:p w14:paraId="551EAD10" w14:textId="77777777" w:rsidR="00083DCB" w:rsidRDefault="00000000">
      <w:pPr>
        <w:pStyle w:val="Ttulo1"/>
      </w:pPr>
      <w:r>
        <w:t>8. Recomendaciones Estratégicas</w:t>
      </w:r>
    </w:p>
    <w:p w14:paraId="14E217FB" w14:textId="77777777" w:rsidR="00083DCB" w:rsidRDefault="00000000">
      <w:r>
        <w:t>• Priorizar inversión en disponibilidad y recuperación de la base de datos del OSF.</w:t>
      </w:r>
    </w:p>
    <w:p w14:paraId="40BEB181" w14:textId="77777777" w:rsidR="00083DCB" w:rsidRDefault="00000000">
      <w:r>
        <w:t>• Renovar o asegurar cobertura del monitoreo con condiciones de servicio verificables.</w:t>
      </w:r>
    </w:p>
    <w:p w14:paraId="6EAC79FA" w14:textId="77777777" w:rsidR="00083DCB" w:rsidRDefault="00000000">
      <w:r>
        <w:t>• Mantener la suspensión de cambios no esenciales durante incidentes P1.</w:t>
      </w:r>
    </w:p>
    <w:p w14:paraId="69D05D09" w14:textId="77777777" w:rsidR="00083DCB" w:rsidRDefault="00000000">
      <w:r>
        <w:t>• Registrar en GLPI las causas, tiempos y responsables para analizar tendencias.</w:t>
      </w:r>
    </w:p>
    <w:p w14:paraId="798E0DCA" w14:textId="77777777" w:rsidR="00083DCB" w:rsidRDefault="00000000">
      <w:r>
        <w:t>• Revisar mensualmente la matriz de riesgos y comprobar la efectividad de las respuestas.</w:t>
      </w:r>
    </w:p>
    <w:p w14:paraId="59B3F152" w14:textId="77777777" w:rsidR="00083DCB" w:rsidRDefault="00000000">
      <w:pPr>
        <w:pStyle w:val="Ttulo1"/>
      </w:pPr>
      <w:r>
        <w:t>9. Conclusión General</w:t>
      </w:r>
    </w:p>
    <w:p w14:paraId="673DC934" w14:textId="77777777" w:rsidR="00083DCB" w:rsidRDefault="00000000">
      <w:r>
        <w:t>A través de las cuatro entregas pude comprender que gestionar riesgos TI implica anticiparse a los problemas, evaluar su gravedad y tomar decisiones justificadas. En este caso, el análisis cualitativo permitió priorizar la caída del OSF y el cuantitativo respaldó postergar el mantenimiento Linux: según los supuestos trabajados, la pérdida esperada de postergar fue de $1.200.000, frente a $3.600.000 al ejecutarlo durante la contingencia. Mi propuesta final es complementar esas decisiones con responsables claros, monitoreo continuo, pruebas de recuperación e indicadores medibles. Considero que así la organización puede reducir el riesgo residual y proteger mejor su operación de facturación.</w:t>
      </w:r>
    </w:p>
    <w:p w14:paraId="485CB7BE" w14:textId="77777777" w:rsidR="00083DCB" w:rsidRDefault="00000000">
      <w:pPr>
        <w:pStyle w:val="Ttulo1"/>
      </w:pPr>
      <w:r>
        <w:t>10. Bibliografía</w:t>
      </w:r>
    </w:p>
    <w:p w14:paraId="2801C46C" w14:textId="77777777" w:rsidR="00083DCB" w:rsidRDefault="00000000">
      <w:r>
        <w:t>• Material de clases: Plan de Gestión de Riesgos, Análisis Cualitativo, Análisis Cuantitativo, Plan de Respuesta y Control de Riesgos.</w:t>
      </w:r>
    </w:p>
    <w:p w14:paraId="66D93940" w14:textId="77777777" w:rsidR="00083DCB" w:rsidRDefault="00000000">
      <w:r>
        <w:t>• Entregas 1, 2 y 3 del proyecto semestral de Gestión de Riesgos TI (material de trabajo del caso OSF).</w:t>
      </w:r>
    </w:p>
    <w:p w14:paraId="36763A2C" w14:textId="77777777" w:rsidR="00083DCB" w:rsidRDefault="00000000">
      <w:r>
        <w:t>• Project Management Institute. PMBOK® Guide, 7.ª edición.</w:t>
      </w:r>
    </w:p>
    <w:p w14:paraId="70A26F5E" w14:textId="77777777" w:rsidR="00083DCB" w:rsidRDefault="00000000">
      <w:r>
        <w:lastRenderedPageBreak/>
        <w:t>• ISO 31000:2018. Risk management — Guidelines.</w:t>
      </w:r>
    </w:p>
    <w:p w14:paraId="22974AA2" w14:textId="77777777" w:rsidR="00083DCB" w:rsidRDefault="00000000">
      <w:r>
        <w:t>• ISO/IEC 27005. Information security risk management.</w:t>
      </w:r>
    </w:p>
    <w:sectPr w:rsidR="00083DCB"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DF722" w14:textId="77777777" w:rsidR="00F37AF5" w:rsidRDefault="00F37AF5">
      <w:pPr>
        <w:spacing w:after="0" w:line="240" w:lineRule="auto"/>
      </w:pPr>
      <w:r>
        <w:separator/>
      </w:r>
    </w:p>
  </w:endnote>
  <w:endnote w:type="continuationSeparator" w:id="0">
    <w:p w14:paraId="48EDCFC7" w14:textId="77777777" w:rsidR="00F37AF5" w:rsidRDefault="00F37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3C10C" w14:textId="77777777" w:rsidR="00083DCB" w:rsidRDefault="00000000">
    <w:pPr>
      <w:pStyle w:val="Piedepgina"/>
      <w:jc w:val="center"/>
    </w:pPr>
    <w:r>
      <w:t xml:space="preserve">José </w:t>
    </w:r>
    <w:proofErr w:type="gramStart"/>
    <w:r>
      <w:t>Herrera  •</w:t>
    </w:r>
    <w:proofErr w:type="gramEnd"/>
    <w:r>
      <w:t xml:space="preserve">  </w:t>
    </w:r>
    <w:proofErr w:type="spellStart"/>
    <w:r>
      <w:t>Gestión</w:t>
    </w:r>
    <w:proofErr w:type="spellEnd"/>
    <w:r>
      <w:t xml:space="preserve"> de </w:t>
    </w:r>
    <w:proofErr w:type="spellStart"/>
    <w:r>
      <w:t>Riesgos</w:t>
    </w:r>
    <w:proofErr w:type="spellEnd"/>
    <w:r>
      <w:t xml:space="preserve"> TI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5993E" w14:textId="77777777" w:rsidR="00F37AF5" w:rsidRDefault="00F37AF5">
      <w:pPr>
        <w:spacing w:after="0" w:line="240" w:lineRule="auto"/>
      </w:pPr>
      <w:r>
        <w:separator/>
      </w:r>
    </w:p>
  </w:footnote>
  <w:footnote w:type="continuationSeparator" w:id="0">
    <w:p w14:paraId="103354D6" w14:textId="77777777" w:rsidR="00F37AF5" w:rsidRDefault="00F37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F94E8" w14:textId="77777777" w:rsidR="00083DCB" w:rsidRDefault="00000000">
    <w:pPr>
      <w:pStyle w:val="Encabezado"/>
    </w:pPr>
    <w:r>
      <w:t xml:space="preserve">GESTIÓN DE RIESGOS </w:t>
    </w:r>
    <w:proofErr w:type="gramStart"/>
    <w:r>
      <w:t>TI  |</w:t>
    </w:r>
    <w:proofErr w:type="gramEnd"/>
    <w:r>
      <w:t xml:space="preserve">  ENTREGA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8886400">
    <w:abstractNumId w:val="8"/>
  </w:num>
  <w:num w:numId="2" w16cid:durableId="1213811806">
    <w:abstractNumId w:val="6"/>
  </w:num>
  <w:num w:numId="3" w16cid:durableId="1793478116">
    <w:abstractNumId w:val="5"/>
  </w:num>
  <w:num w:numId="4" w16cid:durableId="796414313">
    <w:abstractNumId w:val="4"/>
  </w:num>
  <w:num w:numId="5" w16cid:durableId="839390348">
    <w:abstractNumId w:val="7"/>
  </w:num>
  <w:num w:numId="6" w16cid:durableId="826899050">
    <w:abstractNumId w:val="3"/>
  </w:num>
  <w:num w:numId="7" w16cid:durableId="959533793">
    <w:abstractNumId w:val="2"/>
  </w:num>
  <w:num w:numId="8" w16cid:durableId="995646754">
    <w:abstractNumId w:val="1"/>
  </w:num>
  <w:num w:numId="9" w16cid:durableId="1011955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DCB"/>
    <w:rsid w:val="0015074B"/>
    <w:rsid w:val="0029639D"/>
    <w:rsid w:val="00326F90"/>
    <w:rsid w:val="00816851"/>
    <w:rsid w:val="0095625D"/>
    <w:rsid w:val="00AA1D8D"/>
    <w:rsid w:val="00B47730"/>
    <w:rsid w:val="00CB0664"/>
    <w:rsid w:val="00F37A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F90201"/>
  <w14:defaultImageDpi w14:val="300"/>
  <w15:docId w15:val="{7618275B-2699-432B-91B3-04AA85112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918</Words>
  <Characters>5053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IGNACIO HERRERA MENESES</cp:lastModifiedBy>
  <cp:revision>2</cp:revision>
  <dcterms:created xsi:type="dcterms:W3CDTF">2026-10-30T21:54:00Z</dcterms:created>
  <dcterms:modified xsi:type="dcterms:W3CDTF">2026-10-30T21:54:00Z</dcterms:modified>
  <cp:category/>
</cp:coreProperties>
</file>