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F86" w:rsidRPr="00121F86" w:rsidRDefault="00121F86" w:rsidP="00121F86">
      <w:pPr>
        <w:rPr>
          <w:b/>
          <w:bCs/>
        </w:rPr>
      </w:pPr>
      <w:r w:rsidRPr="00121F86">
        <w:rPr>
          <w:b/>
          <w:bCs/>
        </w:rPr>
        <w:t>Falta de pruebas de integración entre microservicios</w:t>
      </w:r>
    </w:p>
    <w:p w:rsidR="00121F86" w:rsidRPr="00121F86" w:rsidRDefault="00121F86" w:rsidP="00121F86"/>
    <w:p w:rsidR="00121F86" w:rsidRPr="00121F86" w:rsidRDefault="00121F86" w:rsidP="00121F86">
      <w:r w:rsidRPr="00121F86">
        <w:t>• Tipo de riesgo: Técnico / Arquitectura</w:t>
      </w:r>
      <w:r w:rsidRPr="00121F86">
        <w:br/>
        <w:t>• Categoría: QA / Integración / Microservicios</w:t>
      </w:r>
      <w:r w:rsidRPr="00121F86">
        <w:br/>
        <w:t>• Descripción: Este riesgo ocurre cuando no se realizan adecuadamente pruebas de integración entre los diferentes microservicios que componen un sistema, lo que puede provocar errores en la comunicación, incompatibilidades, fallos en la entrega de funcionalidades y degradación de la experiencia de usuario. La falta de pruebas integradas compromete la estabilidad y confiabilidad del producto.</w:t>
      </w:r>
    </w:p>
    <w:p w:rsidR="00121F86" w:rsidRPr="00121F86" w:rsidRDefault="00121F86" w:rsidP="00121F86">
      <w:pPr>
        <w:rPr>
          <w:b/>
          <w:bCs/>
        </w:rPr>
      </w:pPr>
      <w:r w:rsidRPr="00121F86">
        <w:rPr>
          <w:b/>
          <w:bCs/>
        </w:rPr>
        <w:t>1. IDENTIFICACIÓN DEL RIESGO</w:t>
      </w:r>
    </w:p>
    <w:tbl>
      <w:tblPr>
        <w:tblStyle w:val="Tabladecuadrcula4"/>
        <w:tblW w:w="0" w:type="auto"/>
        <w:tblLook w:val="04A0" w:firstRow="1" w:lastRow="0" w:firstColumn="1" w:lastColumn="0" w:noHBand="0" w:noVBand="1"/>
      </w:tblPr>
      <w:tblGrid>
        <w:gridCol w:w="2044"/>
        <w:gridCol w:w="6784"/>
      </w:tblGrid>
      <w:tr w:rsidR="00121F86" w:rsidRPr="00121F86" w:rsidTr="0012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Elemento</w:t>
            </w:r>
          </w:p>
        </w:tc>
        <w:tc>
          <w:tcPr>
            <w:tcW w:w="0" w:type="auto"/>
            <w:hideMark/>
          </w:tcPr>
          <w:p w:rsidR="00121F86" w:rsidRPr="00121F86" w:rsidRDefault="00121F86" w:rsidP="00121F86">
            <w:pPr>
              <w:spacing w:after="160" w:line="278" w:lineRule="auto"/>
              <w:cnfStyle w:val="100000000000" w:firstRow="1" w:lastRow="0" w:firstColumn="0" w:lastColumn="0" w:oddVBand="0" w:evenVBand="0" w:oddHBand="0" w:evenHBand="0" w:firstRowFirstColumn="0" w:firstRowLastColumn="0" w:lastRowFirstColumn="0" w:lastRowLastColumn="0"/>
            </w:pPr>
            <w:r w:rsidRPr="00121F86">
              <w:t>Detalle</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Nombre del riesgo</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Falta de pruebas de integración entre microservicios</w:t>
            </w:r>
          </w:p>
        </w:tc>
      </w:tr>
      <w:tr w:rsidR="00121F86" w:rsidRPr="00121F86" w:rsidTr="00121F86">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Categoría</w:t>
            </w:r>
          </w:p>
        </w:tc>
        <w:tc>
          <w:tcPr>
            <w:tcW w:w="0" w:type="auto"/>
            <w:hideMark/>
          </w:tcPr>
          <w:p w:rsidR="00121F86" w:rsidRPr="00121F86" w:rsidRDefault="00121F86" w:rsidP="00121F86">
            <w:pPr>
              <w:spacing w:after="160" w:line="278" w:lineRule="auto"/>
              <w:cnfStyle w:val="000000000000" w:firstRow="0" w:lastRow="0" w:firstColumn="0" w:lastColumn="0" w:oddVBand="0" w:evenVBand="0" w:oddHBand="0" w:evenHBand="0" w:firstRowFirstColumn="0" w:firstRowLastColumn="0" w:lastRowFirstColumn="0" w:lastRowLastColumn="0"/>
            </w:pPr>
            <w:r w:rsidRPr="00121F86">
              <w:t>QA / Integración / Arquitectura de software</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Causas probables</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Falta de estrategia clara de pruebas, comunicación deficiente entre equipos, entornos aislados, herramientas inadecuadas.</w:t>
            </w:r>
          </w:p>
        </w:tc>
      </w:tr>
      <w:tr w:rsidR="00121F86" w:rsidRPr="00121F86" w:rsidTr="00121F86">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Consecuencias</w:t>
            </w:r>
          </w:p>
        </w:tc>
        <w:tc>
          <w:tcPr>
            <w:tcW w:w="0" w:type="auto"/>
            <w:hideMark/>
          </w:tcPr>
          <w:p w:rsidR="00121F86" w:rsidRPr="00121F86" w:rsidRDefault="00121F86" w:rsidP="00121F86">
            <w:pPr>
              <w:spacing w:after="160" w:line="278" w:lineRule="auto"/>
              <w:cnfStyle w:val="000000000000" w:firstRow="0" w:lastRow="0" w:firstColumn="0" w:lastColumn="0" w:oddVBand="0" w:evenVBand="0" w:oddHBand="0" w:evenHBand="0" w:firstRowFirstColumn="0" w:firstRowLastColumn="0" w:lastRowFirstColumn="0" w:lastRowLastColumn="0"/>
            </w:pPr>
            <w:r w:rsidRPr="00121F86">
              <w:t>Errores en comunicación entre servicios, fallos en producción, retrasos, insatisfacción del cliente.</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Fuente</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Reportes de QA, incidentes en producción, monitoreo de sistemas.</w:t>
            </w:r>
          </w:p>
        </w:tc>
      </w:tr>
    </w:tbl>
    <w:p w:rsidR="00121F86" w:rsidRPr="00121F86" w:rsidRDefault="00121F86" w:rsidP="00121F86"/>
    <w:p w:rsidR="00121F86" w:rsidRPr="00121F86" w:rsidRDefault="00121F86" w:rsidP="00121F86">
      <w:pPr>
        <w:rPr>
          <w:b/>
          <w:bCs/>
        </w:rPr>
      </w:pPr>
      <w:r w:rsidRPr="00121F86">
        <w:rPr>
          <w:b/>
          <w:bCs/>
        </w:rPr>
        <w:t>2. EVALUACIÓN DEL RIESGO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6656"/>
      </w:tblGrid>
      <w:tr w:rsidR="00121F86" w:rsidRPr="00121F86" w:rsidTr="00121F86">
        <w:trPr>
          <w:tblHeader/>
          <w:tblCellSpacing w:w="15" w:type="dxa"/>
        </w:trPr>
        <w:tc>
          <w:tcPr>
            <w:tcW w:w="0" w:type="auto"/>
            <w:vAlign w:val="center"/>
            <w:hideMark/>
          </w:tcPr>
          <w:p w:rsidR="00121F86" w:rsidRPr="00121F86" w:rsidRDefault="00121F86" w:rsidP="00121F86">
            <w:pPr>
              <w:rPr>
                <w:b/>
                <w:bCs/>
              </w:rPr>
            </w:pPr>
            <w:r w:rsidRPr="00121F86">
              <w:rPr>
                <w:b/>
                <w:bCs/>
              </w:rPr>
              <w:t>Criterio</w:t>
            </w:r>
          </w:p>
        </w:tc>
        <w:tc>
          <w:tcPr>
            <w:tcW w:w="0" w:type="auto"/>
            <w:vAlign w:val="center"/>
            <w:hideMark/>
          </w:tcPr>
          <w:p w:rsidR="00121F86" w:rsidRPr="00121F86" w:rsidRDefault="00121F86" w:rsidP="00121F86">
            <w:pPr>
              <w:rPr>
                <w:b/>
                <w:bCs/>
              </w:rPr>
            </w:pPr>
            <w:r w:rsidRPr="00121F86">
              <w:rPr>
                <w:b/>
                <w:bCs/>
              </w:rPr>
              <w:t>Valoración</w:t>
            </w:r>
          </w:p>
        </w:tc>
      </w:tr>
      <w:tr w:rsidR="00121F86" w:rsidRPr="00121F86" w:rsidTr="00121F86">
        <w:trPr>
          <w:tblCellSpacing w:w="15" w:type="dxa"/>
        </w:trPr>
        <w:tc>
          <w:tcPr>
            <w:tcW w:w="0" w:type="auto"/>
            <w:vAlign w:val="center"/>
            <w:hideMark/>
          </w:tcPr>
          <w:p w:rsidR="00121F86" w:rsidRPr="00121F86" w:rsidRDefault="00121F86" w:rsidP="00121F86">
            <w:r w:rsidRPr="00121F86">
              <w:t>Probabilidad de ocurrencia</w:t>
            </w:r>
          </w:p>
        </w:tc>
        <w:tc>
          <w:tcPr>
            <w:tcW w:w="0" w:type="auto"/>
            <w:vAlign w:val="center"/>
            <w:hideMark/>
          </w:tcPr>
          <w:p w:rsidR="00121F86" w:rsidRPr="00121F86" w:rsidRDefault="00121F86" w:rsidP="00121F86">
            <w:r w:rsidRPr="00121F86">
              <w:t>Media-Alta (4/5)</w:t>
            </w:r>
          </w:p>
        </w:tc>
      </w:tr>
      <w:tr w:rsidR="00121F86" w:rsidRPr="00121F86" w:rsidTr="00121F86">
        <w:trPr>
          <w:tblCellSpacing w:w="15" w:type="dxa"/>
        </w:trPr>
        <w:tc>
          <w:tcPr>
            <w:tcW w:w="0" w:type="auto"/>
            <w:vAlign w:val="center"/>
            <w:hideMark/>
          </w:tcPr>
          <w:p w:rsidR="00121F86" w:rsidRPr="00121F86" w:rsidRDefault="00121F86" w:rsidP="00121F86">
            <w:r w:rsidRPr="00121F86">
              <w:t>Impacto potencial</w:t>
            </w:r>
          </w:p>
        </w:tc>
        <w:tc>
          <w:tcPr>
            <w:tcW w:w="0" w:type="auto"/>
            <w:vAlign w:val="center"/>
            <w:hideMark/>
          </w:tcPr>
          <w:p w:rsidR="00121F86" w:rsidRPr="00121F86" w:rsidRDefault="00121F86" w:rsidP="00121F86">
            <w:r w:rsidRPr="00121F86">
              <w:t>Alto (4/5)</w:t>
            </w:r>
          </w:p>
        </w:tc>
      </w:tr>
      <w:tr w:rsidR="00121F86" w:rsidRPr="00121F86" w:rsidTr="00121F86">
        <w:trPr>
          <w:tblCellSpacing w:w="15" w:type="dxa"/>
        </w:trPr>
        <w:tc>
          <w:tcPr>
            <w:tcW w:w="0" w:type="auto"/>
            <w:vAlign w:val="center"/>
            <w:hideMark/>
          </w:tcPr>
          <w:p w:rsidR="00121F86" w:rsidRPr="00121F86" w:rsidRDefault="00121F86" w:rsidP="00121F86">
            <w:r w:rsidRPr="00121F86">
              <w:t>Nivel de riesgo</w:t>
            </w:r>
          </w:p>
        </w:tc>
        <w:tc>
          <w:tcPr>
            <w:tcW w:w="0" w:type="auto"/>
            <w:vAlign w:val="center"/>
            <w:hideMark/>
          </w:tcPr>
          <w:p w:rsidR="00121F86" w:rsidRPr="00121F86" w:rsidRDefault="00121F86" w:rsidP="00121F86">
            <w:r w:rsidRPr="00121F86">
              <w:t>Alto</w:t>
            </w:r>
          </w:p>
        </w:tc>
      </w:tr>
      <w:tr w:rsidR="00121F86" w:rsidRPr="00121F86" w:rsidTr="00121F86">
        <w:trPr>
          <w:tblCellSpacing w:w="15" w:type="dxa"/>
        </w:trPr>
        <w:tc>
          <w:tcPr>
            <w:tcW w:w="0" w:type="auto"/>
            <w:vAlign w:val="center"/>
            <w:hideMark/>
          </w:tcPr>
          <w:p w:rsidR="00121F86" w:rsidRPr="00121F86" w:rsidRDefault="00121F86" w:rsidP="00121F86">
            <w:r w:rsidRPr="00121F86">
              <w:t>Indicadores de riesgo</w:t>
            </w:r>
          </w:p>
        </w:tc>
        <w:tc>
          <w:tcPr>
            <w:tcW w:w="0" w:type="auto"/>
            <w:vAlign w:val="center"/>
            <w:hideMark/>
          </w:tcPr>
          <w:p w:rsidR="00121F86" w:rsidRPr="00121F86" w:rsidRDefault="00121F86" w:rsidP="00121F86">
            <w:r w:rsidRPr="00121F86">
              <w:t>Incidentes recurrentes en producción, incompatibilidades detectadas tardíamente, fallos funcionales.</w:t>
            </w:r>
          </w:p>
        </w:tc>
      </w:tr>
    </w:tbl>
    <w:p w:rsidR="00121F86" w:rsidRPr="00121F86" w:rsidRDefault="00121F86" w:rsidP="00121F86"/>
    <w:p w:rsidR="00121F86" w:rsidRPr="00121F86" w:rsidRDefault="00121F86" w:rsidP="00121F86">
      <w:pPr>
        <w:rPr>
          <w:b/>
          <w:bCs/>
        </w:rPr>
      </w:pPr>
      <w:r w:rsidRPr="00121F86">
        <w:rPr>
          <w:b/>
          <w:bCs/>
        </w:rPr>
        <w:t>3. DEFINICIÓN DE MEDIDAS DE CONTROL</w:t>
      </w:r>
    </w:p>
    <w:p w:rsidR="00121F86" w:rsidRPr="00121F86" w:rsidRDefault="00121F86" w:rsidP="00121F86">
      <w:pPr>
        <w:rPr>
          <w:b/>
          <w:bCs/>
        </w:rPr>
      </w:pPr>
      <w:r w:rsidRPr="00121F86">
        <w:rPr>
          <w:b/>
          <w:bCs/>
        </w:rPr>
        <w:t>A. Medidas Preventivas (Antes del riesgo)</w:t>
      </w:r>
    </w:p>
    <w:p w:rsidR="00121F86" w:rsidRPr="00121F86" w:rsidRDefault="00121F86" w:rsidP="00121F86">
      <w:pPr>
        <w:numPr>
          <w:ilvl w:val="0"/>
          <w:numId w:val="1"/>
        </w:numPr>
      </w:pPr>
      <w:r w:rsidRPr="00121F86">
        <w:t>Diseñar una estrategia de pruebas de integración clara y exhaustiva.</w:t>
      </w:r>
      <w:r w:rsidRPr="00121F86">
        <w:br/>
        <w:t>Responsable: QA Lead / Arquitecto de Software</w:t>
      </w:r>
    </w:p>
    <w:p w:rsidR="00121F86" w:rsidRPr="00121F86" w:rsidRDefault="00121F86" w:rsidP="00121F86">
      <w:pPr>
        <w:numPr>
          <w:ilvl w:val="0"/>
          <w:numId w:val="1"/>
        </w:numPr>
      </w:pPr>
      <w:r w:rsidRPr="00121F86">
        <w:t>Implementar pipelines de CI/CD que incluyan pruebas integradas automáticas.</w:t>
      </w:r>
      <w:r w:rsidRPr="00121F86">
        <w:br/>
        <w:t>Responsable: DevOps / QA</w:t>
      </w:r>
    </w:p>
    <w:p w:rsidR="00121F86" w:rsidRPr="00121F86" w:rsidRDefault="00121F86" w:rsidP="00121F86">
      <w:pPr>
        <w:numPr>
          <w:ilvl w:val="0"/>
          <w:numId w:val="1"/>
        </w:numPr>
      </w:pPr>
      <w:r w:rsidRPr="00121F86">
        <w:t>Configurar entornos de pruebas que simulen la interacción real entre microservicios.</w:t>
      </w:r>
      <w:r w:rsidRPr="00121F86">
        <w:br/>
        <w:t>Responsable: DevOps / QA</w:t>
      </w:r>
    </w:p>
    <w:p w:rsidR="00121F86" w:rsidRPr="00121F86" w:rsidRDefault="00121F86" w:rsidP="00121F86">
      <w:pPr>
        <w:numPr>
          <w:ilvl w:val="0"/>
          <w:numId w:val="1"/>
        </w:numPr>
      </w:pPr>
      <w:r w:rsidRPr="00121F86">
        <w:t>Capacitar a los equipos en pruebas de integración y arquitectura de microservicios.</w:t>
      </w:r>
      <w:r w:rsidRPr="00121F86">
        <w:br/>
        <w:t>Responsable: PMO / QA</w:t>
      </w:r>
    </w:p>
    <w:p w:rsidR="00121F86" w:rsidRPr="00121F86" w:rsidRDefault="00121F86" w:rsidP="00121F86">
      <w:pPr>
        <w:rPr>
          <w:b/>
          <w:bCs/>
        </w:rPr>
      </w:pPr>
      <w:r w:rsidRPr="00121F86">
        <w:rPr>
          <w:b/>
          <w:bCs/>
        </w:rPr>
        <w:t>B. Medidas de Mitigación (Durante el riesgo)</w:t>
      </w:r>
    </w:p>
    <w:p w:rsidR="00121F86" w:rsidRPr="00121F86" w:rsidRDefault="00121F86" w:rsidP="00121F86">
      <w:pPr>
        <w:numPr>
          <w:ilvl w:val="0"/>
          <w:numId w:val="2"/>
        </w:numPr>
      </w:pPr>
      <w:r w:rsidRPr="00121F86">
        <w:t>Monitorear fallos de integración y responder con correcciones rápidas.</w:t>
      </w:r>
      <w:r w:rsidRPr="00121F86">
        <w:br/>
        <w:t>Responsable: QA / Dev</w:t>
      </w:r>
    </w:p>
    <w:p w:rsidR="00121F86" w:rsidRPr="00121F86" w:rsidRDefault="00121F86" w:rsidP="00121F86">
      <w:pPr>
        <w:numPr>
          <w:ilvl w:val="0"/>
          <w:numId w:val="2"/>
        </w:numPr>
      </w:pPr>
      <w:r w:rsidRPr="00121F86">
        <w:t xml:space="preserve">Implementar </w:t>
      </w:r>
      <w:proofErr w:type="spellStart"/>
      <w:r w:rsidRPr="00121F86">
        <w:t>mocks</w:t>
      </w:r>
      <w:proofErr w:type="spellEnd"/>
      <w:r w:rsidRPr="00121F86">
        <w:t xml:space="preserve"> y </w:t>
      </w:r>
      <w:proofErr w:type="spellStart"/>
      <w:r w:rsidRPr="00121F86">
        <w:t>stubs</w:t>
      </w:r>
      <w:proofErr w:type="spellEnd"/>
      <w:r w:rsidRPr="00121F86">
        <w:t xml:space="preserve"> para aislar y probar servicios individualmente.</w:t>
      </w:r>
      <w:r w:rsidRPr="00121F86">
        <w:br/>
        <w:t>Responsable: QA / Dev</w:t>
      </w:r>
    </w:p>
    <w:p w:rsidR="00121F86" w:rsidRPr="00121F86" w:rsidRDefault="00121F86" w:rsidP="00121F86">
      <w:pPr>
        <w:rPr>
          <w:b/>
          <w:bCs/>
        </w:rPr>
      </w:pPr>
      <w:r w:rsidRPr="00121F86">
        <w:rPr>
          <w:b/>
          <w:bCs/>
        </w:rPr>
        <w:t>C. Medidas Correctivas (Después del riesgo)</w:t>
      </w:r>
    </w:p>
    <w:p w:rsidR="00121F86" w:rsidRPr="00121F86" w:rsidRDefault="00121F86" w:rsidP="00121F86">
      <w:pPr>
        <w:numPr>
          <w:ilvl w:val="0"/>
          <w:numId w:val="3"/>
        </w:numPr>
      </w:pPr>
      <w:r w:rsidRPr="00121F86">
        <w:t>Analizar causas raíz de fallos de integración.</w:t>
      </w:r>
      <w:r w:rsidRPr="00121F86">
        <w:br/>
        <w:t>Responsable: QA / Arquitecto</w:t>
      </w:r>
    </w:p>
    <w:p w:rsidR="00121F86" w:rsidRPr="00121F86" w:rsidRDefault="00121F86" w:rsidP="00121F86">
      <w:pPr>
        <w:numPr>
          <w:ilvl w:val="0"/>
          <w:numId w:val="3"/>
        </w:numPr>
      </w:pPr>
      <w:r w:rsidRPr="00121F86">
        <w:t>Refactorizar servicios problemáticos y actualizar estrategias de prueba.</w:t>
      </w:r>
      <w:r w:rsidRPr="00121F86">
        <w:br/>
        <w:t>Responsable: Arquitecto / Dev</w:t>
      </w:r>
    </w:p>
    <w:p w:rsidR="00121F86" w:rsidRPr="00121F86" w:rsidRDefault="00121F86" w:rsidP="00121F86"/>
    <w:p w:rsidR="00121F86" w:rsidRPr="00121F86" w:rsidRDefault="00121F86" w:rsidP="00121F86">
      <w:pPr>
        <w:rPr>
          <w:b/>
          <w:bCs/>
        </w:rPr>
      </w:pPr>
      <w:r w:rsidRPr="00121F86">
        <w:rPr>
          <w:b/>
          <w:bCs/>
        </w:rPr>
        <w:t>4. Estimación de Pérdidas Económicas por Riesgo No Controlado</w:t>
      </w:r>
    </w:p>
    <w:tbl>
      <w:tblPr>
        <w:tblStyle w:val="Tabladecuadrcula4"/>
        <w:tblW w:w="0" w:type="auto"/>
        <w:tblLook w:val="04A0" w:firstRow="1" w:lastRow="0" w:firstColumn="1" w:lastColumn="0" w:noHBand="0" w:noVBand="1"/>
      </w:tblPr>
      <w:tblGrid>
        <w:gridCol w:w="3554"/>
        <w:gridCol w:w="3330"/>
        <w:gridCol w:w="1944"/>
      </w:tblGrid>
      <w:tr w:rsidR="00121F86" w:rsidRPr="00121F86" w:rsidTr="0012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Escenario de materialización</w:t>
            </w:r>
          </w:p>
        </w:tc>
        <w:tc>
          <w:tcPr>
            <w:tcW w:w="0" w:type="auto"/>
            <w:hideMark/>
          </w:tcPr>
          <w:p w:rsidR="00121F86" w:rsidRPr="00121F86" w:rsidRDefault="00121F86" w:rsidP="00121F86">
            <w:pPr>
              <w:spacing w:after="160" w:line="278" w:lineRule="auto"/>
              <w:cnfStyle w:val="100000000000" w:firstRow="1" w:lastRow="0" w:firstColumn="0" w:lastColumn="0" w:oddVBand="0" w:evenVBand="0" w:oddHBand="0" w:evenHBand="0" w:firstRowFirstColumn="0" w:firstRowLastColumn="0" w:lastRowFirstColumn="0" w:lastRowLastColumn="0"/>
            </w:pPr>
            <w:r w:rsidRPr="00121F86">
              <w:t>Impacto directo</w:t>
            </w:r>
          </w:p>
        </w:tc>
        <w:tc>
          <w:tcPr>
            <w:tcW w:w="0" w:type="auto"/>
            <w:hideMark/>
          </w:tcPr>
          <w:p w:rsidR="00121F86" w:rsidRPr="00121F86" w:rsidRDefault="00121F86" w:rsidP="00121F86">
            <w:pPr>
              <w:spacing w:after="160" w:line="278" w:lineRule="auto"/>
              <w:cnfStyle w:val="100000000000" w:firstRow="1" w:lastRow="0" w:firstColumn="0" w:lastColumn="0" w:oddVBand="0" w:evenVBand="0" w:oddHBand="0" w:evenHBand="0" w:firstRowFirstColumn="0" w:firstRowLastColumn="0" w:lastRowFirstColumn="0" w:lastRowLastColumn="0"/>
            </w:pPr>
            <w:r w:rsidRPr="00121F86">
              <w:t>Costo estimado (MXN)</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Fallos en producción que afectan usuarios</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Pérdida de servicio, quejas, baja en ventas</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$30,000</w:t>
            </w:r>
          </w:p>
        </w:tc>
      </w:tr>
      <w:tr w:rsidR="00121F86" w:rsidRPr="00121F86" w:rsidTr="00121F86">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lastRenderedPageBreak/>
              <w:t>Retrasos por corrección de errores integrados</w:t>
            </w:r>
          </w:p>
        </w:tc>
        <w:tc>
          <w:tcPr>
            <w:tcW w:w="0" w:type="auto"/>
            <w:hideMark/>
          </w:tcPr>
          <w:p w:rsidR="00121F86" w:rsidRPr="00121F86" w:rsidRDefault="00121F86" w:rsidP="00121F86">
            <w:pPr>
              <w:spacing w:after="160" w:line="278" w:lineRule="auto"/>
              <w:cnfStyle w:val="000000000000" w:firstRow="0" w:lastRow="0" w:firstColumn="0" w:lastColumn="0" w:oddVBand="0" w:evenVBand="0" w:oddHBand="0" w:evenHBand="0" w:firstRowFirstColumn="0" w:firstRowLastColumn="0" w:lastRowFirstColumn="0" w:lastRowLastColumn="0"/>
            </w:pPr>
            <w:r w:rsidRPr="00121F86">
              <w:t>Incremento en tiempos y costos de desarrollo</w:t>
            </w:r>
          </w:p>
        </w:tc>
        <w:tc>
          <w:tcPr>
            <w:tcW w:w="0" w:type="auto"/>
            <w:hideMark/>
          </w:tcPr>
          <w:p w:rsidR="00121F86" w:rsidRPr="00121F86" w:rsidRDefault="00121F86" w:rsidP="00121F86">
            <w:pPr>
              <w:spacing w:after="160" w:line="278" w:lineRule="auto"/>
              <w:cnfStyle w:val="000000000000" w:firstRow="0" w:lastRow="0" w:firstColumn="0" w:lastColumn="0" w:oddVBand="0" w:evenVBand="0" w:oddHBand="0" w:evenHBand="0" w:firstRowFirstColumn="0" w:firstRowLastColumn="0" w:lastRowFirstColumn="0" w:lastRowLastColumn="0"/>
            </w:pPr>
            <w:r w:rsidRPr="00121F86">
              <w:t>$20,000</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Daño reputacional por mala calidad</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Pérdida de clientes y oportunidades</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$15,000</w:t>
            </w:r>
          </w:p>
        </w:tc>
      </w:tr>
    </w:tbl>
    <w:p w:rsidR="00121F86" w:rsidRPr="00121F86" w:rsidRDefault="00121F86" w:rsidP="00121F86">
      <w:proofErr w:type="gramStart"/>
      <w:r w:rsidRPr="00121F86">
        <w:rPr>
          <w:b/>
          <w:bCs/>
        </w:rPr>
        <w:t>Total</w:t>
      </w:r>
      <w:proofErr w:type="gramEnd"/>
      <w:r w:rsidRPr="00121F86">
        <w:rPr>
          <w:b/>
          <w:bCs/>
        </w:rPr>
        <w:t xml:space="preserve"> estimado de pérdidas económicas: → $65,000 MXN</w:t>
      </w:r>
    </w:p>
    <w:p w:rsidR="00121F86" w:rsidRPr="00121F86" w:rsidRDefault="00121F86" w:rsidP="00121F86"/>
    <w:p w:rsidR="00121F86" w:rsidRPr="00121F86" w:rsidRDefault="00121F86" w:rsidP="00121F86">
      <w:pPr>
        <w:rPr>
          <w:b/>
          <w:bCs/>
        </w:rPr>
      </w:pPr>
      <w:r w:rsidRPr="00121F86">
        <w:rPr>
          <w:b/>
          <w:bCs/>
        </w:rPr>
        <w:t>5. Costo de Implementación de Estrategias de Control</w:t>
      </w:r>
    </w:p>
    <w:p w:rsidR="00121F86" w:rsidRPr="00121F86" w:rsidRDefault="00121F86" w:rsidP="00121F86">
      <w:pPr>
        <w:rPr>
          <w:b/>
          <w:bCs/>
        </w:rPr>
      </w:pPr>
      <w:r w:rsidRPr="00121F86">
        <w:rPr>
          <w:b/>
          <w:bCs/>
        </w:rPr>
        <w:t>A. Costos de Medidas Preventivas</w:t>
      </w:r>
    </w:p>
    <w:tbl>
      <w:tblPr>
        <w:tblStyle w:val="Tabladecuadrcula4"/>
        <w:tblW w:w="0" w:type="auto"/>
        <w:tblLook w:val="04A0" w:firstRow="1" w:lastRow="0" w:firstColumn="1" w:lastColumn="0" w:noHBand="0" w:noVBand="1"/>
      </w:tblPr>
      <w:tblGrid>
        <w:gridCol w:w="5485"/>
        <w:gridCol w:w="2645"/>
      </w:tblGrid>
      <w:tr w:rsidR="00121F86" w:rsidRPr="00121F86" w:rsidTr="0012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Acción</w:t>
            </w:r>
          </w:p>
        </w:tc>
        <w:tc>
          <w:tcPr>
            <w:tcW w:w="0" w:type="auto"/>
            <w:hideMark/>
          </w:tcPr>
          <w:p w:rsidR="00121F86" w:rsidRPr="00121F86" w:rsidRDefault="00121F86" w:rsidP="00121F86">
            <w:pPr>
              <w:spacing w:after="160" w:line="278" w:lineRule="auto"/>
              <w:cnfStyle w:val="100000000000" w:firstRow="1" w:lastRow="0" w:firstColumn="0" w:lastColumn="0" w:oddVBand="0" w:evenVBand="0" w:oddHBand="0" w:evenHBand="0" w:firstRowFirstColumn="0" w:firstRowLastColumn="0" w:lastRowFirstColumn="0" w:lastRowLastColumn="0"/>
            </w:pPr>
            <w:r w:rsidRPr="00121F86">
              <w:t>Costo estimado (MXN)</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Diseño e implementación de pruebas integradas</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$5,000</w:t>
            </w:r>
          </w:p>
        </w:tc>
      </w:tr>
      <w:tr w:rsidR="00121F86" w:rsidRPr="00121F86" w:rsidTr="00121F86">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Configuración de pipelines CI/CD con pruebas</w:t>
            </w:r>
          </w:p>
        </w:tc>
        <w:tc>
          <w:tcPr>
            <w:tcW w:w="0" w:type="auto"/>
            <w:hideMark/>
          </w:tcPr>
          <w:p w:rsidR="00121F86" w:rsidRPr="00121F86" w:rsidRDefault="00121F86" w:rsidP="00121F86">
            <w:pPr>
              <w:spacing w:after="160" w:line="278" w:lineRule="auto"/>
              <w:cnfStyle w:val="000000000000" w:firstRow="0" w:lastRow="0" w:firstColumn="0" w:lastColumn="0" w:oddVBand="0" w:evenVBand="0" w:oddHBand="0" w:evenHBand="0" w:firstRowFirstColumn="0" w:firstRowLastColumn="0" w:lastRowFirstColumn="0" w:lastRowLastColumn="0"/>
            </w:pPr>
            <w:r w:rsidRPr="00121F86">
              <w:t>$4,000</w:t>
            </w:r>
          </w:p>
        </w:tc>
      </w:tr>
      <w:tr w:rsidR="00121F86" w:rsidRPr="00121F86" w:rsidTr="0012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1F86" w:rsidRPr="00121F86" w:rsidRDefault="00121F86" w:rsidP="00121F86">
            <w:pPr>
              <w:spacing w:after="160" w:line="278" w:lineRule="auto"/>
            </w:pPr>
            <w:r w:rsidRPr="00121F86">
              <w:t>Capacitación del equipo</w:t>
            </w:r>
          </w:p>
        </w:tc>
        <w:tc>
          <w:tcPr>
            <w:tcW w:w="0" w:type="auto"/>
            <w:hideMark/>
          </w:tcPr>
          <w:p w:rsidR="00121F86" w:rsidRPr="00121F86" w:rsidRDefault="00121F86" w:rsidP="00121F86">
            <w:pPr>
              <w:spacing w:after="160" w:line="278" w:lineRule="auto"/>
              <w:cnfStyle w:val="000000100000" w:firstRow="0" w:lastRow="0" w:firstColumn="0" w:lastColumn="0" w:oddVBand="0" w:evenVBand="0" w:oddHBand="1" w:evenHBand="0" w:firstRowFirstColumn="0" w:firstRowLastColumn="0" w:lastRowFirstColumn="0" w:lastRowLastColumn="0"/>
            </w:pPr>
            <w:r w:rsidRPr="00121F86">
              <w:t>$3,000</w:t>
            </w:r>
          </w:p>
        </w:tc>
      </w:tr>
    </w:tbl>
    <w:p w:rsidR="00121F86" w:rsidRPr="00121F86" w:rsidRDefault="00121F86" w:rsidP="00121F86">
      <w:proofErr w:type="gramStart"/>
      <w:r w:rsidRPr="00121F86">
        <w:rPr>
          <w:b/>
          <w:bCs/>
        </w:rPr>
        <w:t>Total</w:t>
      </w:r>
      <w:proofErr w:type="gramEnd"/>
      <w:r w:rsidRPr="00121F86">
        <w:rPr>
          <w:b/>
          <w:bCs/>
        </w:rPr>
        <w:t xml:space="preserve"> medidas preventivas: $12,000 MXN</w:t>
      </w:r>
    </w:p>
    <w:p w:rsidR="00121F86" w:rsidRPr="00121F86" w:rsidRDefault="00121F86" w:rsidP="00121F86">
      <w:pPr>
        <w:rPr>
          <w:b/>
          <w:bCs/>
        </w:rPr>
      </w:pPr>
      <w:r w:rsidRPr="00121F86">
        <w:rPr>
          <w:b/>
          <w:bCs/>
        </w:rPr>
        <w:t>B. Costos de Medidas de Mitigación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7"/>
        <w:gridCol w:w="2504"/>
      </w:tblGrid>
      <w:tr w:rsidR="00121F86" w:rsidRPr="00121F86" w:rsidTr="00121F86">
        <w:trPr>
          <w:tblHeader/>
          <w:tblCellSpacing w:w="15" w:type="dxa"/>
        </w:trPr>
        <w:tc>
          <w:tcPr>
            <w:tcW w:w="0" w:type="auto"/>
            <w:vAlign w:val="center"/>
            <w:hideMark/>
          </w:tcPr>
          <w:p w:rsidR="00121F86" w:rsidRPr="00121F86" w:rsidRDefault="00121F86" w:rsidP="00121F86">
            <w:pPr>
              <w:rPr>
                <w:b/>
                <w:bCs/>
              </w:rPr>
            </w:pPr>
            <w:r w:rsidRPr="00121F86">
              <w:rPr>
                <w:b/>
                <w:bCs/>
              </w:rPr>
              <w:t>Acción</w:t>
            </w:r>
          </w:p>
        </w:tc>
        <w:tc>
          <w:tcPr>
            <w:tcW w:w="0" w:type="auto"/>
            <w:vAlign w:val="center"/>
            <w:hideMark/>
          </w:tcPr>
          <w:p w:rsidR="00121F86" w:rsidRPr="00121F86" w:rsidRDefault="00121F86" w:rsidP="00121F86">
            <w:pPr>
              <w:rPr>
                <w:b/>
                <w:bCs/>
              </w:rPr>
            </w:pPr>
            <w:r w:rsidRPr="00121F86">
              <w:rPr>
                <w:b/>
                <w:bCs/>
              </w:rPr>
              <w:t>Costo estimado (MXN)</w:t>
            </w:r>
          </w:p>
        </w:tc>
      </w:tr>
      <w:tr w:rsidR="00121F86" w:rsidRPr="00121F86" w:rsidTr="00121F86">
        <w:trPr>
          <w:tblCellSpacing w:w="15" w:type="dxa"/>
        </w:trPr>
        <w:tc>
          <w:tcPr>
            <w:tcW w:w="0" w:type="auto"/>
            <w:vAlign w:val="center"/>
            <w:hideMark/>
          </w:tcPr>
          <w:p w:rsidR="00121F86" w:rsidRPr="00121F86" w:rsidRDefault="00121F86" w:rsidP="00121F86">
            <w:r w:rsidRPr="00121F86">
              <w:t>Monitoreo y corrección rápida</w:t>
            </w:r>
          </w:p>
        </w:tc>
        <w:tc>
          <w:tcPr>
            <w:tcW w:w="0" w:type="auto"/>
            <w:vAlign w:val="center"/>
            <w:hideMark/>
          </w:tcPr>
          <w:p w:rsidR="00121F86" w:rsidRPr="00121F86" w:rsidRDefault="00121F86" w:rsidP="00121F86">
            <w:r w:rsidRPr="00121F86">
              <w:t>$3,500</w:t>
            </w:r>
          </w:p>
        </w:tc>
      </w:tr>
    </w:tbl>
    <w:p w:rsidR="00121F86" w:rsidRPr="00121F86" w:rsidRDefault="00121F86" w:rsidP="00121F86">
      <w:proofErr w:type="gramStart"/>
      <w:r w:rsidRPr="00121F86">
        <w:rPr>
          <w:b/>
          <w:bCs/>
        </w:rPr>
        <w:t>Total</w:t>
      </w:r>
      <w:proofErr w:type="gramEnd"/>
      <w:r w:rsidRPr="00121F86">
        <w:rPr>
          <w:b/>
          <w:bCs/>
        </w:rPr>
        <w:t xml:space="preserve"> medidas de mitigación: $3,500 MXN</w:t>
      </w:r>
    </w:p>
    <w:p w:rsidR="00121F86" w:rsidRPr="00121F86" w:rsidRDefault="00121F86" w:rsidP="00121F86">
      <w:pPr>
        <w:rPr>
          <w:b/>
          <w:bCs/>
        </w:rPr>
      </w:pPr>
      <w:r w:rsidRPr="00121F86">
        <w:rPr>
          <w:b/>
          <w:bCs/>
        </w:rPr>
        <w:t>C. Costos de Medidas Correctivas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2504"/>
      </w:tblGrid>
      <w:tr w:rsidR="00121F86" w:rsidRPr="00121F86" w:rsidTr="00121F86">
        <w:trPr>
          <w:tblHeader/>
          <w:tblCellSpacing w:w="15" w:type="dxa"/>
        </w:trPr>
        <w:tc>
          <w:tcPr>
            <w:tcW w:w="0" w:type="auto"/>
            <w:vAlign w:val="center"/>
            <w:hideMark/>
          </w:tcPr>
          <w:p w:rsidR="00121F86" w:rsidRPr="00121F86" w:rsidRDefault="00121F86" w:rsidP="00121F86">
            <w:pPr>
              <w:rPr>
                <w:b/>
                <w:bCs/>
              </w:rPr>
            </w:pPr>
            <w:r w:rsidRPr="00121F86">
              <w:rPr>
                <w:b/>
                <w:bCs/>
              </w:rPr>
              <w:t>Acción</w:t>
            </w:r>
          </w:p>
        </w:tc>
        <w:tc>
          <w:tcPr>
            <w:tcW w:w="0" w:type="auto"/>
            <w:vAlign w:val="center"/>
            <w:hideMark/>
          </w:tcPr>
          <w:p w:rsidR="00121F86" w:rsidRPr="00121F86" w:rsidRDefault="00121F86" w:rsidP="00121F86">
            <w:pPr>
              <w:rPr>
                <w:b/>
                <w:bCs/>
              </w:rPr>
            </w:pPr>
            <w:r w:rsidRPr="00121F86">
              <w:rPr>
                <w:b/>
                <w:bCs/>
              </w:rPr>
              <w:t>Costo estimado (MXN)</w:t>
            </w:r>
          </w:p>
        </w:tc>
      </w:tr>
      <w:tr w:rsidR="00121F86" w:rsidRPr="00121F86" w:rsidTr="00121F86">
        <w:trPr>
          <w:tblCellSpacing w:w="15" w:type="dxa"/>
        </w:trPr>
        <w:tc>
          <w:tcPr>
            <w:tcW w:w="0" w:type="auto"/>
            <w:vAlign w:val="center"/>
            <w:hideMark/>
          </w:tcPr>
          <w:p w:rsidR="00121F86" w:rsidRPr="00121F86" w:rsidRDefault="00121F86" w:rsidP="00121F86">
            <w:r w:rsidRPr="00121F86">
              <w:t>Análisis y refactorización</w:t>
            </w:r>
          </w:p>
        </w:tc>
        <w:tc>
          <w:tcPr>
            <w:tcW w:w="0" w:type="auto"/>
            <w:vAlign w:val="center"/>
            <w:hideMark/>
          </w:tcPr>
          <w:p w:rsidR="00121F86" w:rsidRPr="00121F86" w:rsidRDefault="00121F86" w:rsidP="00121F86">
            <w:r w:rsidRPr="00121F86">
              <w:t>$4,000</w:t>
            </w:r>
          </w:p>
        </w:tc>
      </w:tr>
    </w:tbl>
    <w:p w:rsidR="00121F86" w:rsidRPr="00121F86" w:rsidRDefault="00121F86" w:rsidP="00121F86">
      <w:proofErr w:type="gramStart"/>
      <w:r w:rsidRPr="00121F86">
        <w:rPr>
          <w:b/>
          <w:bCs/>
        </w:rPr>
        <w:t>Total</w:t>
      </w:r>
      <w:proofErr w:type="gramEnd"/>
      <w:r w:rsidRPr="00121F86">
        <w:rPr>
          <w:b/>
          <w:bCs/>
        </w:rPr>
        <w:t xml:space="preserve"> medidas correctivas: $4,000 MXN</w:t>
      </w:r>
    </w:p>
    <w:p w:rsidR="00121F86" w:rsidRPr="00121F86" w:rsidRDefault="00121F86" w:rsidP="00121F86"/>
    <w:p w:rsidR="00121F86" w:rsidRPr="00121F86" w:rsidRDefault="00121F86" w:rsidP="00121F86">
      <w:pPr>
        <w:rPr>
          <w:b/>
          <w:bCs/>
        </w:rPr>
      </w:pPr>
      <w:r w:rsidRPr="00121F86">
        <w:rPr>
          <w:rFonts w:ascii="Segoe UI Emoji" w:hAnsi="Segoe UI Emoji" w:cs="Segoe UI Emoji"/>
          <w:b/>
          <w:bCs/>
        </w:rPr>
        <w:t>📊</w:t>
      </w:r>
      <w:r w:rsidRPr="00121F86">
        <w:rPr>
          <w:b/>
          <w:bCs/>
        </w:rPr>
        <w:t xml:space="preserve"> Resumen Económico del Plan de Contingencia</w:t>
      </w:r>
    </w:p>
    <w:p w:rsidR="00121F86" w:rsidRPr="00121F86" w:rsidRDefault="00121F86" w:rsidP="00121F86">
      <w:pPr>
        <w:numPr>
          <w:ilvl w:val="0"/>
          <w:numId w:val="4"/>
        </w:numPr>
      </w:pPr>
      <w:r w:rsidRPr="00121F86">
        <w:rPr>
          <w:rFonts w:ascii="Segoe UI Emoji" w:hAnsi="Segoe UI Emoji" w:cs="Segoe UI Emoji"/>
        </w:rPr>
        <w:t>🛡️</w:t>
      </w:r>
      <w:r w:rsidRPr="00121F86">
        <w:t xml:space="preserve"> Prevención: $12,000 MXN</w:t>
      </w:r>
    </w:p>
    <w:p w:rsidR="00121F86" w:rsidRPr="00121F86" w:rsidRDefault="00121F86" w:rsidP="00121F86">
      <w:pPr>
        <w:numPr>
          <w:ilvl w:val="0"/>
          <w:numId w:val="4"/>
        </w:numPr>
      </w:pPr>
      <w:r w:rsidRPr="00121F86">
        <w:rPr>
          <w:rFonts w:ascii="Segoe UI Emoji" w:hAnsi="Segoe UI Emoji" w:cs="Segoe UI Emoji"/>
        </w:rPr>
        <w:t>🚨</w:t>
      </w:r>
      <w:r w:rsidRPr="00121F86">
        <w:t xml:space="preserve"> Mitigación: $3,500 MXN</w:t>
      </w:r>
    </w:p>
    <w:p w:rsidR="00121F86" w:rsidRPr="00121F86" w:rsidRDefault="00121F86" w:rsidP="00121F86">
      <w:pPr>
        <w:numPr>
          <w:ilvl w:val="0"/>
          <w:numId w:val="4"/>
        </w:numPr>
      </w:pPr>
      <w:r w:rsidRPr="00121F86">
        <w:rPr>
          <w:rFonts w:ascii="Segoe UI Emoji" w:hAnsi="Segoe UI Emoji" w:cs="Segoe UI Emoji"/>
        </w:rPr>
        <w:t>🔄</w:t>
      </w:r>
      <w:r w:rsidRPr="00121F86">
        <w:t xml:space="preserve"> Recuperación: $4,000 MXN</w:t>
      </w:r>
    </w:p>
    <w:p w:rsidR="00121F86" w:rsidRPr="00121F86" w:rsidRDefault="00121F86" w:rsidP="00121F86">
      <w:pPr>
        <w:numPr>
          <w:ilvl w:val="0"/>
          <w:numId w:val="4"/>
        </w:numPr>
      </w:pPr>
      <w:r w:rsidRPr="00121F86">
        <w:rPr>
          <w:rFonts w:ascii="Segoe UI Emoji" w:hAnsi="Segoe UI Emoji" w:cs="Segoe UI Emoji"/>
        </w:rPr>
        <w:lastRenderedPageBreak/>
        <w:t>💥</w:t>
      </w:r>
      <w:r w:rsidRPr="00121F86">
        <w:t xml:space="preserve"> Costo de no hacer nada: $65,000 MXN</w:t>
      </w:r>
    </w:p>
    <w:p w:rsidR="00121F86" w:rsidRPr="00121F86" w:rsidRDefault="00121F86" w:rsidP="00121F86">
      <w:pPr>
        <w:rPr>
          <w:b/>
          <w:bCs/>
        </w:rPr>
      </w:pPr>
      <w:r w:rsidRPr="00121F86">
        <w:rPr>
          <w:rFonts w:ascii="Segoe UI Emoji" w:hAnsi="Segoe UI Emoji" w:cs="Segoe UI Emoji"/>
          <w:b/>
          <w:bCs/>
        </w:rPr>
        <w:t>📈</w:t>
      </w:r>
      <w:r w:rsidRPr="00121F86">
        <w:rPr>
          <w:b/>
          <w:bCs/>
        </w:rPr>
        <w:t xml:space="preserve"> Análisis Costo-Beneficio</w:t>
      </w:r>
    </w:p>
    <w:p w:rsidR="00121F86" w:rsidRPr="00121F86" w:rsidRDefault="00121F86" w:rsidP="00121F86">
      <w:r w:rsidRPr="00121F86">
        <w:t>Costo total estrategias: $19,500 MXN</w:t>
      </w:r>
      <w:r w:rsidRPr="00121F86">
        <w:br/>
        <w:t>Ahorro potencial: $65,000 – $19,500 = $45,500 MXN (≈ 233% ROI)</w:t>
      </w:r>
    </w:p>
    <w:p w:rsidR="00747000" w:rsidRDefault="00747000"/>
    <w:sectPr w:rsidR="007470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744C4"/>
    <w:multiLevelType w:val="multilevel"/>
    <w:tmpl w:val="A6E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858CA"/>
    <w:multiLevelType w:val="multilevel"/>
    <w:tmpl w:val="F98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E4660"/>
    <w:multiLevelType w:val="multilevel"/>
    <w:tmpl w:val="3C0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25ADD"/>
    <w:multiLevelType w:val="multilevel"/>
    <w:tmpl w:val="1AB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040169">
    <w:abstractNumId w:val="0"/>
  </w:num>
  <w:num w:numId="2" w16cid:durableId="404838117">
    <w:abstractNumId w:val="3"/>
  </w:num>
  <w:num w:numId="3" w16cid:durableId="2034072580">
    <w:abstractNumId w:val="2"/>
  </w:num>
  <w:num w:numId="4" w16cid:durableId="427122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86"/>
    <w:rsid w:val="000174C6"/>
    <w:rsid w:val="000B2163"/>
    <w:rsid w:val="00121F86"/>
    <w:rsid w:val="00231FA3"/>
    <w:rsid w:val="007470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6834-09C8-4CF9-BBEC-3010282F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1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1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1F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1F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1F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1F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1F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1F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1F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1F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1F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1F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1F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1F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1F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1F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1F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1F86"/>
    <w:rPr>
      <w:rFonts w:eastAsiaTheme="majorEastAsia" w:cstheme="majorBidi"/>
      <w:color w:val="272727" w:themeColor="text1" w:themeTint="D8"/>
    </w:rPr>
  </w:style>
  <w:style w:type="paragraph" w:styleId="Ttulo">
    <w:name w:val="Title"/>
    <w:basedOn w:val="Normal"/>
    <w:next w:val="Normal"/>
    <w:link w:val="TtuloCar"/>
    <w:uiPriority w:val="10"/>
    <w:qFormat/>
    <w:rsid w:val="00121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1F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1F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1F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1F86"/>
    <w:pPr>
      <w:spacing w:before="160"/>
      <w:jc w:val="center"/>
    </w:pPr>
    <w:rPr>
      <w:i/>
      <w:iCs/>
      <w:color w:val="404040" w:themeColor="text1" w:themeTint="BF"/>
    </w:rPr>
  </w:style>
  <w:style w:type="character" w:customStyle="1" w:styleId="CitaCar">
    <w:name w:val="Cita Car"/>
    <w:basedOn w:val="Fuentedeprrafopredeter"/>
    <w:link w:val="Cita"/>
    <w:uiPriority w:val="29"/>
    <w:rsid w:val="00121F86"/>
    <w:rPr>
      <w:i/>
      <w:iCs/>
      <w:color w:val="404040" w:themeColor="text1" w:themeTint="BF"/>
    </w:rPr>
  </w:style>
  <w:style w:type="paragraph" w:styleId="Prrafodelista">
    <w:name w:val="List Paragraph"/>
    <w:basedOn w:val="Normal"/>
    <w:uiPriority w:val="34"/>
    <w:qFormat/>
    <w:rsid w:val="00121F86"/>
    <w:pPr>
      <w:ind w:left="720"/>
      <w:contextualSpacing/>
    </w:pPr>
  </w:style>
  <w:style w:type="character" w:styleId="nfasisintenso">
    <w:name w:val="Intense Emphasis"/>
    <w:basedOn w:val="Fuentedeprrafopredeter"/>
    <w:uiPriority w:val="21"/>
    <w:qFormat/>
    <w:rsid w:val="00121F86"/>
    <w:rPr>
      <w:i/>
      <w:iCs/>
      <w:color w:val="0F4761" w:themeColor="accent1" w:themeShade="BF"/>
    </w:rPr>
  </w:style>
  <w:style w:type="paragraph" w:styleId="Citadestacada">
    <w:name w:val="Intense Quote"/>
    <w:basedOn w:val="Normal"/>
    <w:next w:val="Normal"/>
    <w:link w:val="CitadestacadaCar"/>
    <w:uiPriority w:val="30"/>
    <w:qFormat/>
    <w:rsid w:val="00121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1F86"/>
    <w:rPr>
      <w:i/>
      <w:iCs/>
      <w:color w:val="0F4761" w:themeColor="accent1" w:themeShade="BF"/>
    </w:rPr>
  </w:style>
  <w:style w:type="character" w:styleId="Referenciaintensa">
    <w:name w:val="Intense Reference"/>
    <w:basedOn w:val="Fuentedeprrafopredeter"/>
    <w:uiPriority w:val="32"/>
    <w:qFormat/>
    <w:rsid w:val="00121F86"/>
    <w:rPr>
      <w:b/>
      <w:bCs/>
      <w:smallCaps/>
      <w:color w:val="0F4761" w:themeColor="accent1" w:themeShade="BF"/>
      <w:spacing w:val="5"/>
    </w:rPr>
  </w:style>
  <w:style w:type="table" w:styleId="Tabladecuadrcula4">
    <w:name w:val="Grid Table 4"/>
    <w:basedOn w:val="Tablanormal"/>
    <w:uiPriority w:val="49"/>
    <w:rsid w:val="00121F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126297">
      <w:bodyDiv w:val="1"/>
      <w:marLeft w:val="0"/>
      <w:marRight w:val="0"/>
      <w:marTop w:val="0"/>
      <w:marBottom w:val="0"/>
      <w:divBdr>
        <w:top w:val="none" w:sz="0" w:space="0" w:color="auto"/>
        <w:left w:val="none" w:sz="0" w:space="0" w:color="auto"/>
        <w:bottom w:val="none" w:sz="0" w:space="0" w:color="auto"/>
        <w:right w:val="none" w:sz="0" w:space="0" w:color="auto"/>
      </w:divBdr>
      <w:divsChild>
        <w:div w:id="2002586199">
          <w:marLeft w:val="0"/>
          <w:marRight w:val="0"/>
          <w:marTop w:val="0"/>
          <w:marBottom w:val="0"/>
          <w:divBdr>
            <w:top w:val="none" w:sz="0" w:space="0" w:color="auto"/>
            <w:left w:val="none" w:sz="0" w:space="0" w:color="auto"/>
            <w:bottom w:val="none" w:sz="0" w:space="0" w:color="auto"/>
            <w:right w:val="none" w:sz="0" w:space="0" w:color="auto"/>
          </w:divBdr>
          <w:divsChild>
            <w:div w:id="882329878">
              <w:marLeft w:val="0"/>
              <w:marRight w:val="0"/>
              <w:marTop w:val="0"/>
              <w:marBottom w:val="0"/>
              <w:divBdr>
                <w:top w:val="none" w:sz="0" w:space="0" w:color="auto"/>
                <w:left w:val="none" w:sz="0" w:space="0" w:color="auto"/>
                <w:bottom w:val="none" w:sz="0" w:space="0" w:color="auto"/>
                <w:right w:val="none" w:sz="0" w:space="0" w:color="auto"/>
              </w:divBdr>
            </w:div>
          </w:divsChild>
        </w:div>
        <w:div w:id="1923368899">
          <w:marLeft w:val="0"/>
          <w:marRight w:val="0"/>
          <w:marTop w:val="0"/>
          <w:marBottom w:val="0"/>
          <w:divBdr>
            <w:top w:val="none" w:sz="0" w:space="0" w:color="auto"/>
            <w:left w:val="none" w:sz="0" w:space="0" w:color="auto"/>
            <w:bottom w:val="none" w:sz="0" w:space="0" w:color="auto"/>
            <w:right w:val="none" w:sz="0" w:space="0" w:color="auto"/>
          </w:divBdr>
          <w:divsChild>
            <w:div w:id="564143343">
              <w:marLeft w:val="0"/>
              <w:marRight w:val="0"/>
              <w:marTop w:val="0"/>
              <w:marBottom w:val="0"/>
              <w:divBdr>
                <w:top w:val="none" w:sz="0" w:space="0" w:color="auto"/>
                <w:left w:val="none" w:sz="0" w:space="0" w:color="auto"/>
                <w:bottom w:val="none" w:sz="0" w:space="0" w:color="auto"/>
                <w:right w:val="none" w:sz="0" w:space="0" w:color="auto"/>
              </w:divBdr>
            </w:div>
          </w:divsChild>
        </w:div>
        <w:div w:id="477497349">
          <w:marLeft w:val="0"/>
          <w:marRight w:val="0"/>
          <w:marTop w:val="0"/>
          <w:marBottom w:val="0"/>
          <w:divBdr>
            <w:top w:val="none" w:sz="0" w:space="0" w:color="auto"/>
            <w:left w:val="none" w:sz="0" w:space="0" w:color="auto"/>
            <w:bottom w:val="none" w:sz="0" w:space="0" w:color="auto"/>
            <w:right w:val="none" w:sz="0" w:space="0" w:color="auto"/>
          </w:divBdr>
          <w:divsChild>
            <w:div w:id="197470331">
              <w:marLeft w:val="0"/>
              <w:marRight w:val="0"/>
              <w:marTop w:val="0"/>
              <w:marBottom w:val="0"/>
              <w:divBdr>
                <w:top w:val="none" w:sz="0" w:space="0" w:color="auto"/>
                <w:left w:val="none" w:sz="0" w:space="0" w:color="auto"/>
                <w:bottom w:val="none" w:sz="0" w:space="0" w:color="auto"/>
                <w:right w:val="none" w:sz="0" w:space="0" w:color="auto"/>
              </w:divBdr>
            </w:div>
          </w:divsChild>
        </w:div>
        <w:div w:id="1335376635">
          <w:marLeft w:val="0"/>
          <w:marRight w:val="0"/>
          <w:marTop w:val="0"/>
          <w:marBottom w:val="0"/>
          <w:divBdr>
            <w:top w:val="none" w:sz="0" w:space="0" w:color="auto"/>
            <w:left w:val="none" w:sz="0" w:space="0" w:color="auto"/>
            <w:bottom w:val="none" w:sz="0" w:space="0" w:color="auto"/>
            <w:right w:val="none" w:sz="0" w:space="0" w:color="auto"/>
          </w:divBdr>
          <w:divsChild>
            <w:div w:id="2126578153">
              <w:marLeft w:val="0"/>
              <w:marRight w:val="0"/>
              <w:marTop w:val="0"/>
              <w:marBottom w:val="0"/>
              <w:divBdr>
                <w:top w:val="none" w:sz="0" w:space="0" w:color="auto"/>
                <w:left w:val="none" w:sz="0" w:space="0" w:color="auto"/>
                <w:bottom w:val="none" w:sz="0" w:space="0" w:color="auto"/>
                <w:right w:val="none" w:sz="0" w:space="0" w:color="auto"/>
              </w:divBdr>
            </w:div>
          </w:divsChild>
        </w:div>
        <w:div w:id="2130542369">
          <w:marLeft w:val="0"/>
          <w:marRight w:val="0"/>
          <w:marTop w:val="0"/>
          <w:marBottom w:val="0"/>
          <w:divBdr>
            <w:top w:val="none" w:sz="0" w:space="0" w:color="auto"/>
            <w:left w:val="none" w:sz="0" w:space="0" w:color="auto"/>
            <w:bottom w:val="none" w:sz="0" w:space="0" w:color="auto"/>
            <w:right w:val="none" w:sz="0" w:space="0" w:color="auto"/>
          </w:divBdr>
          <w:divsChild>
            <w:div w:id="199786178">
              <w:marLeft w:val="0"/>
              <w:marRight w:val="0"/>
              <w:marTop w:val="0"/>
              <w:marBottom w:val="0"/>
              <w:divBdr>
                <w:top w:val="none" w:sz="0" w:space="0" w:color="auto"/>
                <w:left w:val="none" w:sz="0" w:space="0" w:color="auto"/>
                <w:bottom w:val="none" w:sz="0" w:space="0" w:color="auto"/>
                <w:right w:val="none" w:sz="0" w:space="0" w:color="auto"/>
              </w:divBdr>
            </w:div>
          </w:divsChild>
        </w:div>
        <w:div w:id="1158885681">
          <w:marLeft w:val="0"/>
          <w:marRight w:val="0"/>
          <w:marTop w:val="0"/>
          <w:marBottom w:val="0"/>
          <w:divBdr>
            <w:top w:val="none" w:sz="0" w:space="0" w:color="auto"/>
            <w:left w:val="none" w:sz="0" w:space="0" w:color="auto"/>
            <w:bottom w:val="none" w:sz="0" w:space="0" w:color="auto"/>
            <w:right w:val="none" w:sz="0" w:space="0" w:color="auto"/>
          </w:divBdr>
          <w:divsChild>
            <w:div w:id="710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8104">
      <w:bodyDiv w:val="1"/>
      <w:marLeft w:val="0"/>
      <w:marRight w:val="0"/>
      <w:marTop w:val="0"/>
      <w:marBottom w:val="0"/>
      <w:divBdr>
        <w:top w:val="none" w:sz="0" w:space="0" w:color="auto"/>
        <w:left w:val="none" w:sz="0" w:space="0" w:color="auto"/>
        <w:bottom w:val="none" w:sz="0" w:space="0" w:color="auto"/>
        <w:right w:val="none" w:sz="0" w:space="0" w:color="auto"/>
      </w:divBdr>
      <w:divsChild>
        <w:div w:id="1704094501">
          <w:marLeft w:val="0"/>
          <w:marRight w:val="0"/>
          <w:marTop w:val="0"/>
          <w:marBottom w:val="0"/>
          <w:divBdr>
            <w:top w:val="none" w:sz="0" w:space="0" w:color="auto"/>
            <w:left w:val="none" w:sz="0" w:space="0" w:color="auto"/>
            <w:bottom w:val="none" w:sz="0" w:space="0" w:color="auto"/>
            <w:right w:val="none" w:sz="0" w:space="0" w:color="auto"/>
          </w:divBdr>
          <w:divsChild>
            <w:div w:id="34744339">
              <w:marLeft w:val="0"/>
              <w:marRight w:val="0"/>
              <w:marTop w:val="0"/>
              <w:marBottom w:val="0"/>
              <w:divBdr>
                <w:top w:val="none" w:sz="0" w:space="0" w:color="auto"/>
                <w:left w:val="none" w:sz="0" w:space="0" w:color="auto"/>
                <w:bottom w:val="none" w:sz="0" w:space="0" w:color="auto"/>
                <w:right w:val="none" w:sz="0" w:space="0" w:color="auto"/>
              </w:divBdr>
            </w:div>
          </w:divsChild>
        </w:div>
        <w:div w:id="78064903">
          <w:marLeft w:val="0"/>
          <w:marRight w:val="0"/>
          <w:marTop w:val="0"/>
          <w:marBottom w:val="0"/>
          <w:divBdr>
            <w:top w:val="none" w:sz="0" w:space="0" w:color="auto"/>
            <w:left w:val="none" w:sz="0" w:space="0" w:color="auto"/>
            <w:bottom w:val="none" w:sz="0" w:space="0" w:color="auto"/>
            <w:right w:val="none" w:sz="0" w:space="0" w:color="auto"/>
          </w:divBdr>
          <w:divsChild>
            <w:div w:id="1655648836">
              <w:marLeft w:val="0"/>
              <w:marRight w:val="0"/>
              <w:marTop w:val="0"/>
              <w:marBottom w:val="0"/>
              <w:divBdr>
                <w:top w:val="none" w:sz="0" w:space="0" w:color="auto"/>
                <w:left w:val="none" w:sz="0" w:space="0" w:color="auto"/>
                <w:bottom w:val="none" w:sz="0" w:space="0" w:color="auto"/>
                <w:right w:val="none" w:sz="0" w:space="0" w:color="auto"/>
              </w:divBdr>
            </w:div>
          </w:divsChild>
        </w:div>
        <w:div w:id="1821536175">
          <w:marLeft w:val="0"/>
          <w:marRight w:val="0"/>
          <w:marTop w:val="0"/>
          <w:marBottom w:val="0"/>
          <w:divBdr>
            <w:top w:val="none" w:sz="0" w:space="0" w:color="auto"/>
            <w:left w:val="none" w:sz="0" w:space="0" w:color="auto"/>
            <w:bottom w:val="none" w:sz="0" w:space="0" w:color="auto"/>
            <w:right w:val="none" w:sz="0" w:space="0" w:color="auto"/>
          </w:divBdr>
          <w:divsChild>
            <w:div w:id="175383567">
              <w:marLeft w:val="0"/>
              <w:marRight w:val="0"/>
              <w:marTop w:val="0"/>
              <w:marBottom w:val="0"/>
              <w:divBdr>
                <w:top w:val="none" w:sz="0" w:space="0" w:color="auto"/>
                <w:left w:val="none" w:sz="0" w:space="0" w:color="auto"/>
                <w:bottom w:val="none" w:sz="0" w:space="0" w:color="auto"/>
                <w:right w:val="none" w:sz="0" w:space="0" w:color="auto"/>
              </w:divBdr>
            </w:div>
          </w:divsChild>
        </w:div>
        <w:div w:id="1017922466">
          <w:marLeft w:val="0"/>
          <w:marRight w:val="0"/>
          <w:marTop w:val="0"/>
          <w:marBottom w:val="0"/>
          <w:divBdr>
            <w:top w:val="none" w:sz="0" w:space="0" w:color="auto"/>
            <w:left w:val="none" w:sz="0" w:space="0" w:color="auto"/>
            <w:bottom w:val="none" w:sz="0" w:space="0" w:color="auto"/>
            <w:right w:val="none" w:sz="0" w:space="0" w:color="auto"/>
          </w:divBdr>
          <w:divsChild>
            <w:div w:id="1164316868">
              <w:marLeft w:val="0"/>
              <w:marRight w:val="0"/>
              <w:marTop w:val="0"/>
              <w:marBottom w:val="0"/>
              <w:divBdr>
                <w:top w:val="none" w:sz="0" w:space="0" w:color="auto"/>
                <w:left w:val="none" w:sz="0" w:space="0" w:color="auto"/>
                <w:bottom w:val="none" w:sz="0" w:space="0" w:color="auto"/>
                <w:right w:val="none" w:sz="0" w:space="0" w:color="auto"/>
              </w:divBdr>
            </w:div>
          </w:divsChild>
        </w:div>
        <w:div w:id="2045595091">
          <w:marLeft w:val="0"/>
          <w:marRight w:val="0"/>
          <w:marTop w:val="0"/>
          <w:marBottom w:val="0"/>
          <w:divBdr>
            <w:top w:val="none" w:sz="0" w:space="0" w:color="auto"/>
            <w:left w:val="none" w:sz="0" w:space="0" w:color="auto"/>
            <w:bottom w:val="none" w:sz="0" w:space="0" w:color="auto"/>
            <w:right w:val="none" w:sz="0" w:space="0" w:color="auto"/>
          </w:divBdr>
          <w:divsChild>
            <w:div w:id="1390416430">
              <w:marLeft w:val="0"/>
              <w:marRight w:val="0"/>
              <w:marTop w:val="0"/>
              <w:marBottom w:val="0"/>
              <w:divBdr>
                <w:top w:val="none" w:sz="0" w:space="0" w:color="auto"/>
                <w:left w:val="none" w:sz="0" w:space="0" w:color="auto"/>
                <w:bottom w:val="none" w:sz="0" w:space="0" w:color="auto"/>
                <w:right w:val="none" w:sz="0" w:space="0" w:color="auto"/>
              </w:divBdr>
            </w:div>
          </w:divsChild>
        </w:div>
        <w:div w:id="1134061099">
          <w:marLeft w:val="0"/>
          <w:marRight w:val="0"/>
          <w:marTop w:val="0"/>
          <w:marBottom w:val="0"/>
          <w:divBdr>
            <w:top w:val="none" w:sz="0" w:space="0" w:color="auto"/>
            <w:left w:val="none" w:sz="0" w:space="0" w:color="auto"/>
            <w:bottom w:val="none" w:sz="0" w:space="0" w:color="auto"/>
            <w:right w:val="none" w:sz="0" w:space="0" w:color="auto"/>
          </w:divBdr>
          <w:divsChild>
            <w:div w:id="19333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3048</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bryan omar jimenéz velázquez</dc:creator>
  <cp:keywords/>
  <dc:description/>
  <cp:lastModifiedBy>josé bryan omar jimenéz velázquez</cp:lastModifiedBy>
  <cp:revision>1</cp:revision>
  <dcterms:created xsi:type="dcterms:W3CDTF">2025-06-27T18:45:00Z</dcterms:created>
  <dcterms:modified xsi:type="dcterms:W3CDTF">2025-06-27T18:45:00Z</dcterms:modified>
</cp:coreProperties>
</file>