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8CBC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RIESGO 10: Ambigüedad en iconografía o botones</w:t>
      </w:r>
    </w:p>
    <w:p w14:paraId="0316DDB8" w14:textId="77777777" w:rsidR="00822610" w:rsidRPr="00822610" w:rsidRDefault="00822610" w:rsidP="00822610">
      <w:pPr>
        <w:numPr>
          <w:ilvl w:val="0"/>
          <w:numId w:val="1"/>
        </w:numPr>
      </w:pPr>
      <w:r w:rsidRPr="00822610">
        <w:rPr>
          <w:b/>
          <w:bCs/>
        </w:rPr>
        <w:t>Tipo de riesgo:</w:t>
      </w:r>
      <w:r w:rsidRPr="00822610">
        <w:t xml:space="preserve"> UX / Diseño visual / Funcionalidad</w:t>
      </w:r>
    </w:p>
    <w:p w14:paraId="1F449205" w14:textId="77777777" w:rsidR="00822610" w:rsidRPr="00822610" w:rsidRDefault="00822610" w:rsidP="00822610">
      <w:pPr>
        <w:numPr>
          <w:ilvl w:val="0"/>
          <w:numId w:val="1"/>
        </w:numPr>
      </w:pPr>
      <w:r w:rsidRPr="00822610">
        <w:rPr>
          <w:b/>
          <w:bCs/>
        </w:rPr>
        <w:t>Categoría:</w:t>
      </w:r>
      <w:r w:rsidRPr="00822610">
        <w:t xml:space="preserve"> Interfaz de usuario / Accesibilidad / Comunicación visual</w:t>
      </w:r>
    </w:p>
    <w:p w14:paraId="24A289CF" w14:textId="77777777" w:rsidR="00822610" w:rsidRPr="00822610" w:rsidRDefault="00822610" w:rsidP="00822610">
      <w:pPr>
        <w:numPr>
          <w:ilvl w:val="0"/>
          <w:numId w:val="1"/>
        </w:numPr>
      </w:pPr>
      <w:r w:rsidRPr="00822610">
        <w:rPr>
          <w:b/>
          <w:bCs/>
        </w:rPr>
        <w:t>Descripción:</w:t>
      </w:r>
      <w:r w:rsidRPr="00822610">
        <w:br/>
        <w:t>El uso de íconos o botones con significados poco claros o confusos puede provocar malentendidos en la interacción del usuario con el sistema, errores de navegación o funciones no utilizadas, afectando directamente la usabilidad y percepción del producto.</w:t>
      </w:r>
    </w:p>
    <w:p w14:paraId="0A8D9954" w14:textId="0F1920DD" w:rsidR="00822610" w:rsidRPr="00822610" w:rsidRDefault="00822610" w:rsidP="00822610"/>
    <w:p w14:paraId="753FD7CC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822610" w:rsidRPr="00822610" w14:paraId="7D64B2D5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6945D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Elemento</w:t>
            </w:r>
          </w:p>
        </w:tc>
        <w:tc>
          <w:tcPr>
            <w:tcW w:w="0" w:type="auto"/>
            <w:hideMark/>
          </w:tcPr>
          <w:p w14:paraId="07B672F4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Detalle</w:t>
            </w:r>
          </w:p>
        </w:tc>
      </w:tr>
      <w:tr w:rsidR="00822610" w:rsidRPr="00822610" w14:paraId="2BB0AED5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9E6D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Nombre del riesgo</w:t>
            </w:r>
          </w:p>
        </w:tc>
        <w:tc>
          <w:tcPr>
            <w:tcW w:w="0" w:type="auto"/>
            <w:hideMark/>
          </w:tcPr>
          <w:p w14:paraId="4023779E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Ambigüedad en iconografía o botones</w:t>
            </w:r>
          </w:p>
        </w:tc>
      </w:tr>
      <w:tr w:rsidR="00822610" w:rsidRPr="00822610" w14:paraId="66728A46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FF154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Categoría</w:t>
            </w:r>
          </w:p>
        </w:tc>
        <w:tc>
          <w:tcPr>
            <w:tcW w:w="0" w:type="auto"/>
            <w:hideMark/>
          </w:tcPr>
          <w:p w14:paraId="2E49F617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UX / Diseño / Interacción</w:t>
            </w:r>
          </w:p>
        </w:tc>
      </w:tr>
      <w:tr w:rsidR="00822610" w:rsidRPr="00822610" w14:paraId="0D9A2834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F88EE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Causas probables</w:t>
            </w:r>
          </w:p>
        </w:tc>
        <w:tc>
          <w:tcPr>
            <w:tcW w:w="0" w:type="auto"/>
            <w:hideMark/>
          </w:tcPr>
          <w:p w14:paraId="61A4E2B5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Falta de pruebas con usuarios, iconos genéricos sin contexto, símbolos no universales, ausencia de etiquetas o retroalimentación visual.</w:t>
            </w:r>
          </w:p>
        </w:tc>
      </w:tr>
      <w:tr w:rsidR="00822610" w:rsidRPr="00822610" w14:paraId="4AC08554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4FC53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Consecuencias</w:t>
            </w:r>
          </w:p>
        </w:tc>
        <w:tc>
          <w:tcPr>
            <w:tcW w:w="0" w:type="auto"/>
            <w:hideMark/>
          </w:tcPr>
          <w:p w14:paraId="5050E726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Confusión, uso incorrecto del sistema, frustración del usuario, incremento en soporte técnico.</w:t>
            </w:r>
          </w:p>
        </w:tc>
      </w:tr>
      <w:tr w:rsidR="00822610" w:rsidRPr="00822610" w14:paraId="350CDC91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7D044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Fuente</w:t>
            </w:r>
          </w:p>
        </w:tc>
        <w:tc>
          <w:tcPr>
            <w:tcW w:w="0" w:type="auto"/>
            <w:hideMark/>
          </w:tcPr>
          <w:p w14:paraId="4A8D97FF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Decisiones de diseño no validadas, presión estética sobre funcionalidad, diseño basado en supuestos.</w:t>
            </w:r>
          </w:p>
        </w:tc>
      </w:tr>
    </w:tbl>
    <w:p w14:paraId="497672BA" w14:textId="27F8CE90" w:rsidR="00822610" w:rsidRPr="00822610" w:rsidRDefault="00822610" w:rsidP="00822610"/>
    <w:p w14:paraId="601C316B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2"/>
        <w:gridCol w:w="6556"/>
      </w:tblGrid>
      <w:tr w:rsidR="00822610" w:rsidRPr="00822610" w14:paraId="36AD8A92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0CCA2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Criterio</w:t>
            </w:r>
          </w:p>
        </w:tc>
        <w:tc>
          <w:tcPr>
            <w:tcW w:w="0" w:type="auto"/>
            <w:hideMark/>
          </w:tcPr>
          <w:p w14:paraId="17D738DF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Valoración</w:t>
            </w:r>
          </w:p>
        </w:tc>
      </w:tr>
      <w:tr w:rsidR="00822610" w:rsidRPr="00822610" w14:paraId="650D2A62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9C86C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Probabilidad de ocurrencia</w:t>
            </w:r>
          </w:p>
        </w:tc>
        <w:tc>
          <w:tcPr>
            <w:tcW w:w="0" w:type="auto"/>
            <w:hideMark/>
          </w:tcPr>
          <w:p w14:paraId="1E7AB8B8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Alta</w:t>
            </w:r>
          </w:p>
        </w:tc>
      </w:tr>
      <w:tr w:rsidR="00822610" w:rsidRPr="00822610" w14:paraId="77B353D8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FCCA4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Impacto potencial</w:t>
            </w:r>
          </w:p>
        </w:tc>
        <w:tc>
          <w:tcPr>
            <w:tcW w:w="0" w:type="auto"/>
            <w:hideMark/>
          </w:tcPr>
          <w:p w14:paraId="6FFA7DA7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Medio-Alto (afecta interacción directa y comprensión del sistema)</w:t>
            </w:r>
          </w:p>
        </w:tc>
      </w:tr>
      <w:tr w:rsidR="00822610" w:rsidRPr="00822610" w14:paraId="21ADC0E2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48021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Nivel de riesgo</w:t>
            </w:r>
          </w:p>
        </w:tc>
        <w:tc>
          <w:tcPr>
            <w:tcW w:w="0" w:type="auto"/>
            <w:hideMark/>
          </w:tcPr>
          <w:p w14:paraId="02D432CE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Alto</w:t>
            </w:r>
          </w:p>
        </w:tc>
      </w:tr>
      <w:tr w:rsidR="00822610" w:rsidRPr="00822610" w14:paraId="7C41FDD3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D72DA" w14:textId="77777777" w:rsidR="00822610" w:rsidRPr="00822610" w:rsidRDefault="00822610" w:rsidP="00822610">
            <w:pPr>
              <w:spacing w:after="160" w:line="278" w:lineRule="auto"/>
            </w:pPr>
            <w:r w:rsidRPr="00822610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1BBCA05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Errores frecuentes de usuarios, bajo uso de funcionalidades clave, retroalimentación negativa en pruebas de usabilidad.</w:t>
            </w:r>
          </w:p>
        </w:tc>
      </w:tr>
    </w:tbl>
    <w:p w14:paraId="0AB389F5" w14:textId="685F381E" w:rsidR="00822610" w:rsidRPr="00822610" w:rsidRDefault="00822610" w:rsidP="00822610"/>
    <w:p w14:paraId="24C02AB0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3. DEFINICIÓN DE MEDIDAS DE CONTROL</w:t>
      </w:r>
    </w:p>
    <w:p w14:paraId="7B325BA1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38"/>
        <w:gridCol w:w="1785"/>
        <w:gridCol w:w="3205"/>
      </w:tblGrid>
      <w:tr w:rsidR="00822610" w:rsidRPr="00822610" w14:paraId="5B75EDC1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22A72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4653341A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Responsable</w:t>
            </w:r>
          </w:p>
        </w:tc>
        <w:tc>
          <w:tcPr>
            <w:tcW w:w="0" w:type="auto"/>
            <w:hideMark/>
          </w:tcPr>
          <w:p w14:paraId="01029760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Herramientas / Recursos</w:t>
            </w:r>
          </w:p>
        </w:tc>
      </w:tr>
      <w:tr w:rsidR="00822610" w:rsidRPr="00822610" w14:paraId="31E676BC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EE193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Establecer una biblioteca de iconografía estandarizada</w:t>
            </w:r>
          </w:p>
        </w:tc>
        <w:tc>
          <w:tcPr>
            <w:tcW w:w="0" w:type="auto"/>
            <w:hideMark/>
          </w:tcPr>
          <w:p w14:paraId="5F90AF40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UX / Diseño</w:t>
            </w:r>
          </w:p>
        </w:tc>
        <w:tc>
          <w:tcPr>
            <w:tcW w:w="0" w:type="auto"/>
            <w:hideMark/>
          </w:tcPr>
          <w:p w14:paraId="4CA004D6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2610">
              <w:t>Design</w:t>
            </w:r>
            <w:proofErr w:type="spellEnd"/>
            <w:r w:rsidRPr="00822610">
              <w:t xml:space="preserve"> </w:t>
            </w:r>
            <w:proofErr w:type="spellStart"/>
            <w:r w:rsidRPr="00822610">
              <w:t>systems</w:t>
            </w:r>
            <w:proofErr w:type="spellEnd"/>
            <w:r w:rsidRPr="00822610">
              <w:t>, guías visuales</w:t>
            </w:r>
          </w:p>
        </w:tc>
      </w:tr>
      <w:tr w:rsidR="00822610" w:rsidRPr="00822610" w14:paraId="4326FF2E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5E0D6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Añadir etiquetas o textos alternativos a los íconos</w:t>
            </w:r>
          </w:p>
        </w:tc>
        <w:tc>
          <w:tcPr>
            <w:tcW w:w="0" w:type="auto"/>
            <w:hideMark/>
          </w:tcPr>
          <w:p w14:paraId="6C6F6A13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Diseño / Dev</w:t>
            </w:r>
          </w:p>
        </w:tc>
        <w:tc>
          <w:tcPr>
            <w:tcW w:w="0" w:type="auto"/>
            <w:hideMark/>
          </w:tcPr>
          <w:p w14:paraId="09455052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2610">
              <w:t>Tooltips</w:t>
            </w:r>
            <w:proofErr w:type="spellEnd"/>
            <w:r w:rsidRPr="00822610">
              <w:t>, aria-</w:t>
            </w:r>
            <w:proofErr w:type="spellStart"/>
            <w:r w:rsidRPr="00822610">
              <w:t>label</w:t>
            </w:r>
            <w:proofErr w:type="spellEnd"/>
            <w:r w:rsidRPr="00822610">
              <w:t>, pruebas de accesibilidad</w:t>
            </w:r>
          </w:p>
        </w:tc>
      </w:tr>
      <w:tr w:rsidR="00822610" w:rsidRPr="00822610" w14:paraId="75EE55D7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853B0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Validar la comprensión de iconos y botones en pruebas UX</w:t>
            </w:r>
          </w:p>
        </w:tc>
        <w:tc>
          <w:tcPr>
            <w:tcW w:w="0" w:type="auto"/>
            <w:hideMark/>
          </w:tcPr>
          <w:p w14:paraId="224F67D2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UX / QA</w:t>
            </w:r>
          </w:p>
        </w:tc>
        <w:tc>
          <w:tcPr>
            <w:tcW w:w="0" w:type="auto"/>
            <w:hideMark/>
          </w:tcPr>
          <w:p w14:paraId="5B4EB7CF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2610">
              <w:t>Testing</w:t>
            </w:r>
            <w:proofErr w:type="spellEnd"/>
            <w:r w:rsidRPr="00822610">
              <w:t xml:space="preserve"> con usuarios, sesiones de observación</w:t>
            </w:r>
          </w:p>
        </w:tc>
      </w:tr>
      <w:tr w:rsidR="00822610" w:rsidRPr="00822610" w14:paraId="6DC38DFA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00A8C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Incorporar retroalimentación visual al interactuar con botones</w:t>
            </w:r>
          </w:p>
        </w:tc>
        <w:tc>
          <w:tcPr>
            <w:tcW w:w="0" w:type="auto"/>
            <w:hideMark/>
          </w:tcPr>
          <w:p w14:paraId="26817700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 xml:space="preserve">Diseño / </w:t>
            </w:r>
            <w:proofErr w:type="spellStart"/>
            <w:r w:rsidRPr="00822610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FBF022E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2610">
              <w:t>Microinteracciones</w:t>
            </w:r>
            <w:proofErr w:type="spellEnd"/>
            <w:r w:rsidRPr="00822610">
              <w:t>, cambios de estado visual</w:t>
            </w:r>
          </w:p>
        </w:tc>
      </w:tr>
    </w:tbl>
    <w:p w14:paraId="022AA5E9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05"/>
        <w:gridCol w:w="1641"/>
        <w:gridCol w:w="3182"/>
      </w:tblGrid>
      <w:tr w:rsidR="00822610" w:rsidRPr="00822610" w14:paraId="2A615315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B9950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58A55859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Responsable</w:t>
            </w:r>
          </w:p>
        </w:tc>
        <w:tc>
          <w:tcPr>
            <w:tcW w:w="0" w:type="auto"/>
            <w:hideMark/>
          </w:tcPr>
          <w:p w14:paraId="5A3B2758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Herramientas / Recursos</w:t>
            </w:r>
          </w:p>
        </w:tc>
      </w:tr>
      <w:tr w:rsidR="00822610" w:rsidRPr="00822610" w14:paraId="352675A4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D069F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 xml:space="preserve">Recoger </w:t>
            </w:r>
            <w:proofErr w:type="spellStart"/>
            <w:r w:rsidRPr="00822610">
              <w:t>feedback</w:t>
            </w:r>
            <w:proofErr w:type="spellEnd"/>
            <w:r w:rsidRPr="00822610">
              <w:t xml:space="preserve"> específico sobre iconografía ambigua</w:t>
            </w:r>
          </w:p>
        </w:tc>
        <w:tc>
          <w:tcPr>
            <w:tcW w:w="0" w:type="auto"/>
            <w:hideMark/>
          </w:tcPr>
          <w:p w14:paraId="58B3F23A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Soporte / UX</w:t>
            </w:r>
          </w:p>
        </w:tc>
        <w:tc>
          <w:tcPr>
            <w:tcW w:w="0" w:type="auto"/>
            <w:hideMark/>
          </w:tcPr>
          <w:p w14:paraId="0A608DA4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Formularios, encuestas, grabación de sesiones</w:t>
            </w:r>
          </w:p>
        </w:tc>
      </w:tr>
      <w:tr w:rsidR="00822610" w:rsidRPr="00822610" w14:paraId="41B38BEA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BDCBD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Rediseñar o complementar íconos confusos con texto contextual</w:t>
            </w:r>
          </w:p>
        </w:tc>
        <w:tc>
          <w:tcPr>
            <w:tcW w:w="0" w:type="auto"/>
            <w:hideMark/>
          </w:tcPr>
          <w:p w14:paraId="6DCFEF10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Diseño / Dev</w:t>
            </w:r>
          </w:p>
        </w:tc>
        <w:tc>
          <w:tcPr>
            <w:tcW w:w="0" w:type="auto"/>
            <w:hideMark/>
          </w:tcPr>
          <w:p w14:paraId="5D131FB0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Edición de UI, pruebas A/B rápidas</w:t>
            </w:r>
          </w:p>
        </w:tc>
      </w:tr>
      <w:tr w:rsidR="00822610" w:rsidRPr="00822610" w14:paraId="5A5B2ED9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B55D8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Priorizar claridad sobre estética en iteraciones urgentes</w:t>
            </w:r>
          </w:p>
        </w:tc>
        <w:tc>
          <w:tcPr>
            <w:tcW w:w="0" w:type="auto"/>
            <w:hideMark/>
          </w:tcPr>
          <w:p w14:paraId="6DE8FE08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Producto / UX</w:t>
            </w:r>
          </w:p>
        </w:tc>
        <w:tc>
          <w:tcPr>
            <w:tcW w:w="0" w:type="auto"/>
            <w:hideMark/>
          </w:tcPr>
          <w:p w14:paraId="1E666C73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2610">
              <w:t>Guidelines</w:t>
            </w:r>
            <w:proofErr w:type="spellEnd"/>
            <w:r w:rsidRPr="00822610">
              <w:t xml:space="preserve"> de emergencia, criterios de aceptación</w:t>
            </w:r>
          </w:p>
        </w:tc>
      </w:tr>
    </w:tbl>
    <w:p w14:paraId="77212813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6"/>
        <w:gridCol w:w="1853"/>
        <w:gridCol w:w="3109"/>
      </w:tblGrid>
      <w:tr w:rsidR="00822610" w:rsidRPr="00822610" w14:paraId="6027B194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B5AA9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24A1E5AE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Responsable</w:t>
            </w:r>
          </w:p>
        </w:tc>
        <w:tc>
          <w:tcPr>
            <w:tcW w:w="0" w:type="auto"/>
            <w:hideMark/>
          </w:tcPr>
          <w:p w14:paraId="71F50758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Herramientas / Recursos</w:t>
            </w:r>
          </w:p>
        </w:tc>
      </w:tr>
      <w:tr w:rsidR="00822610" w:rsidRPr="00822610" w14:paraId="6B793254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46948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Análisis de errores derivados de iconografía ambigua</w:t>
            </w:r>
          </w:p>
        </w:tc>
        <w:tc>
          <w:tcPr>
            <w:tcW w:w="0" w:type="auto"/>
            <w:hideMark/>
          </w:tcPr>
          <w:p w14:paraId="08D7EC4A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QA / UX</w:t>
            </w:r>
          </w:p>
        </w:tc>
        <w:tc>
          <w:tcPr>
            <w:tcW w:w="0" w:type="auto"/>
            <w:hideMark/>
          </w:tcPr>
          <w:p w14:paraId="5E90938B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Mapas de clics, mapas de calor, entrevistas</w:t>
            </w:r>
          </w:p>
        </w:tc>
      </w:tr>
      <w:tr w:rsidR="00822610" w:rsidRPr="00822610" w14:paraId="6EF05199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CC3DE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Actualización y estandarización visual</w:t>
            </w:r>
          </w:p>
        </w:tc>
        <w:tc>
          <w:tcPr>
            <w:tcW w:w="0" w:type="auto"/>
            <w:hideMark/>
          </w:tcPr>
          <w:p w14:paraId="6A42DF28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Diseño / Dirección</w:t>
            </w:r>
          </w:p>
        </w:tc>
        <w:tc>
          <w:tcPr>
            <w:tcW w:w="0" w:type="auto"/>
            <w:hideMark/>
          </w:tcPr>
          <w:p w14:paraId="2277F4A0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Manuales de diseño, revisión de estilos</w:t>
            </w:r>
          </w:p>
        </w:tc>
      </w:tr>
      <w:tr w:rsidR="00822610" w:rsidRPr="00822610" w14:paraId="3028B735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7529F" w14:textId="77777777" w:rsidR="00822610" w:rsidRPr="00822610" w:rsidRDefault="00822610" w:rsidP="00822610">
            <w:pPr>
              <w:spacing w:after="160" w:line="278" w:lineRule="auto"/>
            </w:pPr>
            <w:r w:rsidRPr="00822610">
              <w:lastRenderedPageBreak/>
              <w:t>Capacitación interna en principios de diseño semántico</w:t>
            </w:r>
          </w:p>
        </w:tc>
        <w:tc>
          <w:tcPr>
            <w:tcW w:w="0" w:type="auto"/>
            <w:hideMark/>
          </w:tcPr>
          <w:p w14:paraId="40A950F0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RRHH / Diseño</w:t>
            </w:r>
          </w:p>
        </w:tc>
        <w:tc>
          <w:tcPr>
            <w:tcW w:w="0" w:type="auto"/>
            <w:hideMark/>
          </w:tcPr>
          <w:p w14:paraId="3A92E35A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Workshops, documentación UX</w:t>
            </w:r>
          </w:p>
        </w:tc>
      </w:tr>
    </w:tbl>
    <w:p w14:paraId="250938FC" w14:textId="7D84BD4D" w:rsidR="00822610" w:rsidRPr="00822610" w:rsidRDefault="00822610" w:rsidP="00822610"/>
    <w:p w14:paraId="6DDBCF05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44"/>
        <w:gridCol w:w="3424"/>
        <w:gridCol w:w="1860"/>
      </w:tblGrid>
      <w:tr w:rsidR="00822610" w:rsidRPr="00822610" w14:paraId="11609088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1EADB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Escenario de materialización</w:t>
            </w:r>
          </w:p>
        </w:tc>
        <w:tc>
          <w:tcPr>
            <w:tcW w:w="0" w:type="auto"/>
            <w:hideMark/>
          </w:tcPr>
          <w:p w14:paraId="72BB86BB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Impacto directo</w:t>
            </w:r>
          </w:p>
        </w:tc>
        <w:tc>
          <w:tcPr>
            <w:tcW w:w="0" w:type="auto"/>
            <w:hideMark/>
          </w:tcPr>
          <w:p w14:paraId="1F2CB676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Costo estimado (MXN)</w:t>
            </w:r>
          </w:p>
        </w:tc>
      </w:tr>
      <w:tr w:rsidR="00822610" w:rsidRPr="00822610" w14:paraId="3276363F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565B5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Uso incorrecto del sistema por botones ambiguos</w:t>
            </w:r>
          </w:p>
        </w:tc>
        <w:tc>
          <w:tcPr>
            <w:tcW w:w="0" w:type="auto"/>
            <w:hideMark/>
          </w:tcPr>
          <w:p w14:paraId="3E6BA25A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Fallas funcionales, errores de usuario</w:t>
            </w:r>
          </w:p>
        </w:tc>
        <w:tc>
          <w:tcPr>
            <w:tcW w:w="0" w:type="auto"/>
            <w:hideMark/>
          </w:tcPr>
          <w:p w14:paraId="4240291E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$40,000 MXN</w:t>
            </w:r>
          </w:p>
        </w:tc>
      </w:tr>
      <w:tr w:rsidR="00822610" w:rsidRPr="00822610" w14:paraId="1D02800C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BDA43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Soporte por dudas frecuentes</w:t>
            </w:r>
          </w:p>
        </w:tc>
        <w:tc>
          <w:tcPr>
            <w:tcW w:w="0" w:type="auto"/>
            <w:hideMark/>
          </w:tcPr>
          <w:p w14:paraId="6DC13233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Saturación de atención al cliente</w:t>
            </w:r>
          </w:p>
        </w:tc>
        <w:tc>
          <w:tcPr>
            <w:tcW w:w="0" w:type="auto"/>
            <w:hideMark/>
          </w:tcPr>
          <w:p w14:paraId="27AFC417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$25,000 MXN</w:t>
            </w:r>
          </w:p>
        </w:tc>
      </w:tr>
      <w:tr w:rsidR="00822610" w:rsidRPr="00822610" w14:paraId="12F166C9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1019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Baja satisfacción de usuarios</w:t>
            </w:r>
          </w:p>
        </w:tc>
        <w:tc>
          <w:tcPr>
            <w:tcW w:w="0" w:type="auto"/>
            <w:hideMark/>
          </w:tcPr>
          <w:p w14:paraId="38314A5A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Críticas, desinstalaciones, pérdida de confianza</w:t>
            </w:r>
          </w:p>
        </w:tc>
        <w:tc>
          <w:tcPr>
            <w:tcW w:w="0" w:type="auto"/>
            <w:hideMark/>
          </w:tcPr>
          <w:p w14:paraId="55FE2C2C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$30,000 MXN</w:t>
            </w:r>
          </w:p>
        </w:tc>
      </w:tr>
      <w:tr w:rsidR="00822610" w:rsidRPr="00822610" w14:paraId="376FC846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0D57B" w14:textId="77777777" w:rsidR="00822610" w:rsidRPr="00822610" w:rsidRDefault="00822610" w:rsidP="00822610">
            <w:pPr>
              <w:spacing w:after="160" w:line="278" w:lineRule="auto"/>
            </w:pPr>
            <w:proofErr w:type="gramStart"/>
            <w:r w:rsidRPr="00822610">
              <w:t>Total</w:t>
            </w:r>
            <w:proofErr w:type="gramEnd"/>
            <w:r w:rsidRPr="0082261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50AACD3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94C5AA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 xml:space="preserve">→ </w:t>
            </w:r>
            <w:r w:rsidRPr="00822610">
              <w:rPr>
                <w:b/>
                <w:bCs/>
              </w:rPr>
              <w:t>$95,000 MXN</w:t>
            </w:r>
          </w:p>
        </w:tc>
      </w:tr>
    </w:tbl>
    <w:p w14:paraId="56630423" w14:textId="465D1F40" w:rsidR="00822610" w:rsidRPr="00822610" w:rsidRDefault="00822610" w:rsidP="00822610"/>
    <w:p w14:paraId="2FA2A355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5. Costo de Implementación de Estrategias de Control</w:t>
      </w:r>
    </w:p>
    <w:p w14:paraId="0D60CDF2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96"/>
        <w:gridCol w:w="1942"/>
      </w:tblGrid>
      <w:tr w:rsidR="00822610" w:rsidRPr="00822610" w14:paraId="7255F0CD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97D20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2DD22804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Costo estimado</w:t>
            </w:r>
          </w:p>
        </w:tc>
      </w:tr>
      <w:tr w:rsidR="00822610" w:rsidRPr="00822610" w14:paraId="13489F6C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3D006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Creación de biblioteca de iconografía estándar</w:t>
            </w:r>
          </w:p>
        </w:tc>
        <w:tc>
          <w:tcPr>
            <w:tcW w:w="0" w:type="auto"/>
            <w:hideMark/>
          </w:tcPr>
          <w:p w14:paraId="3B505138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$4,000 MXN</w:t>
            </w:r>
          </w:p>
        </w:tc>
      </w:tr>
      <w:tr w:rsidR="00822610" w:rsidRPr="00822610" w14:paraId="42451BAF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8B00C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 xml:space="preserve">Incorporación de etiquetas o </w:t>
            </w:r>
            <w:proofErr w:type="spellStart"/>
            <w:r w:rsidRPr="00822610">
              <w:t>tooltips</w:t>
            </w:r>
            <w:proofErr w:type="spellEnd"/>
          </w:p>
        </w:tc>
        <w:tc>
          <w:tcPr>
            <w:tcW w:w="0" w:type="auto"/>
            <w:hideMark/>
          </w:tcPr>
          <w:p w14:paraId="2226B6F2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$3,000 MXN</w:t>
            </w:r>
          </w:p>
        </w:tc>
      </w:tr>
      <w:tr w:rsidR="00822610" w:rsidRPr="00822610" w14:paraId="00B317AA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3E422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Pruebas de comprensión visual</w:t>
            </w:r>
          </w:p>
        </w:tc>
        <w:tc>
          <w:tcPr>
            <w:tcW w:w="0" w:type="auto"/>
            <w:hideMark/>
          </w:tcPr>
          <w:p w14:paraId="7793EB34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$3,000 MXN</w:t>
            </w:r>
          </w:p>
        </w:tc>
      </w:tr>
      <w:tr w:rsidR="00822610" w:rsidRPr="00822610" w14:paraId="6749319E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F8C47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 xml:space="preserve">Diseño de </w:t>
            </w:r>
            <w:proofErr w:type="spellStart"/>
            <w:r w:rsidRPr="00822610">
              <w:t>microinteracciones</w:t>
            </w:r>
            <w:proofErr w:type="spellEnd"/>
          </w:p>
        </w:tc>
        <w:tc>
          <w:tcPr>
            <w:tcW w:w="0" w:type="auto"/>
            <w:hideMark/>
          </w:tcPr>
          <w:p w14:paraId="10D5707D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$3,000 MXN</w:t>
            </w:r>
          </w:p>
        </w:tc>
      </w:tr>
      <w:tr w:rsidR="00822610" w:rsidRPr="00822610" w14:paraId="4C5B80CD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15BCD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🛡️</w:t>
            </w:r>
            <w:r w:rsidRPr="00822610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52BCCC6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rPr>
                <w:b/>
                <w:bCs/>
              </w:rPr>
              <w:t>$13,000 MXN</w:t>
            </w:r>
          </w:p>
        </w:tc>
      </w:tr>
    </w:tbl>
    <w:p w14:paraId="6D690D24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47"/>
        <w:gridCol w:w="1942"/>
      </w:tblGrid>
      <w:tr w:rsidR="00822610" w:rsidRPr="00822610" w14:paraId="03EA591F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A01A8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508E734E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Costo estimado</w:t>
            </w:r>
          </w:p>
        </w:tc>
      </w:tr>
      <w:tr w:rsidR="00822610" w:rsidRPr="00822610" w14:paraId="5ADC2EF9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9AF4F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 xml:space="preserve">Recolección de </w:t>
            </w:r>
            <w:proofErr w:type="spellStart"/>
            <w:r w:rsidRPr="00822610">
              <w:t>feedback</w:t>
            </w:r>
            <w:proofErr w:type="spellEnd"/>
            <w:r w:rsidRPr="00822610">
              <w:t xml:space="preserve"> sobre ambigüedad</w:t>
            </w:r>
          </w:p>
        </w:tc>
        <w:tc>
          <w:tcPr>
            <w:tcW w:w="0" w:type="auto"/>
            <w:hideMark/>
          </w:tcPr>
          <w:p w14:paraId="01775A9F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$2,000 MXN</w:t>
            </w:r>
          </w:p>
        </w:tc>
      </w:tr>
      <w:tr w:rsidR="00822610" w:rsidRPr="00822610" w14:paraId="7059E239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2DC8D" w14:textId="77777777" w:rsidR="00822610" w:rsidRPr="00822610" w:rsidRDefault="00822610" w:rsidP="00822610">
            <w:pPr>
              <w:spacing w:after="160" w:line="278" w:lineRule="auto"/>
            </w:pPr>
            <w:r w:rsidRPr="00822610">
              <w:lastRenderedPageBreak/>
              <w:t>Edición rápida de iconos o botones</w:t>
            </w:r>
          </w:p>
        </w:tc>
        <w:tc>
          <w:tcPr>
            <w:tcW w:w="0" w:type="auto"/>
            <w:hideMark/>
          </w:tcPr>
          <w:p w14:paraId="24D3E737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$3,000 MXN</w:t>
            </w:r>
          </w:p>
        </w:tc>
      </w:tr>
      <w:tr w:rsidR="00822610" w:rsidRPr="00822610" w14:paraId="6A8FF15E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9C38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Iteraciones con prioridad funcional</w:t>
            </w:r>
          </w:p>
        </w:tc>
        <w:tc>
          <w:tcPr>
            <w:tcW w:w="0" w:type="auto"/>
            <w:hideMark/>
          </w:tcPr>
          <w:p w14:paraId="539DDF64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$2,000 MXN</w:t>
            </w:r>
          </w:p>
        </w:tc>
      </w:tr>
      <w:tr w:rsidR="00822610" w:rsidRPr="00822610" w14:paraId="786042EE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B8E86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🚨</w:t>
            </w:r>
            <w:r w:rsidRPr="00822610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5076952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rPr>
                <w:b/>
                <w:bCs/>
              </w:rPr>
              <w:t>$7,000 MXN</w:t>
            </w:r>
          </w:p>
        </w:tc>
      </w:tr>
    </w:tbl>
    <w:p w14:paraId="1FF4A3FE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67"/>
        <w:gridCol w:w="1942"/>
      </w:tblGrid>
      <w:tr w:rsidR="00822610" w:rsidRPr="00822610" w14:paraId="059544E1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400BF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Acción</w:t>
            </w:r>
          </w:p>
        </w:tc>
        <w:tc>
          <w:tcPr>
            <w:tcW w:w="0" w:type="auto"/>
            <w:hideMark/>
          </w:tcPr>
          <w:p w14:paraId="56DD5F13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Costo estimado</w:t>
            </w:r>
          </w:p>
        </w:tc>
      </w:tr>
      <w:tr w:rsidR="00822610" w:rsidRPr="00822610" w14:paraId="51E50145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03192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Análisis de errores de interacción</w:t>
            </w:r>
          </w:p>
        </w:tc>
        <w:tc>
          <w:tcPr>
            <w:tcW w:w="0" w:type="auto"/>
            <w:hideMark/>
          </w:tcPr>
          <w:p w14:paraId="32FA92F8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$2,000 MXN</w:t>
            </w:r>
          </w:p>
        </w:tc>
      </w:tr>
      <w:tr w:rsidR="00822610" w:rsidRPr="00822610" w14:paraId="65254700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915A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Rediseño y actualización de guías visuales</w:t>
            </w:r>
          </w:p>
        </w:tc>
        <w:tc>
          <w:tcPr>
            <w:tcW w:w="0" w:type="auto"/>
            <w:hideMark/>
          </w:tcPr>
          <w:p w14:paraId="01CB0902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$3,000 MXN</w:t>
            </w:r>
          </w:p>
        </w:tc>
      </w:tr>
      <w:tr w:rsidR="00822610" w:rsidRPr="00822610" w14:paraId="3A6E32C8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1AA76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Capacitación interna en iconografía y semántica</w:t>
            </w:r>
          </w:p>
        </w:tc>
        <w:tc>
          <w:tcPr>
            <w:tcW w:w="0" w:type="auto"/>
            <w:hideMark/>
          </w:tcPr>
          <w:p w14:paraId="40954B15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$2,500 MXN</w:t>
            </w:r>
          </w:p>
        </w:tc>
      </w:tr>
      <w:tr w:rsidR="00822610" w:rsidRPr="00822610" w14:paraId="35895450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EE771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🔄</w:t>
            </w:r>
            <w:r w:rsidRPr="00822610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B21AA26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rPr>
                <w:b/>
                <w:bCs/>
              </w:rPr>
              <w:t>$7,500 MXN</w:t>
            </w:r>
          </w:p>
        </w:tc>
      </w:tr>
    </w:tbl>
    <w:p w14:paraId="7074591A" w14:textId="2A096B10" w:rsidR="00822610" w:rsidRPr="00822610" w:rsidRDefault="00822610" w:rsidP="00822610"/>
    <w:p w14:paraId="3A8B24B2" w14:textId="77777777" w:rsidR="00822610" w:rsidRPr="00822610" w:rsidRDefault="00822610" w:rsidP="00822610">
      <w:pPr>
        <w:rPr>
          <w:b/>
          <w:bCs/>
        </w:rPr>
      </w:pPr>
      <w:r w:rsidRPr="00822610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22610" w:rsidRPr="00822610" w14:paraId="75BE1936" w14:textId="77777777" w:rsidTr="0001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B8A06" w14:textId="77777777" w:rsidR="00822610" w:rsidRPr="00822610" w:rsidRDefault="00822610" w:rsidP="00822610">
            <w:pPr>
              <w:spacing w:after="160" w:line="278" w:lineRule="auto"/>
            </w:pPr>
            <w:r w:rsidRPr="00822610">
              <w:t>Categoría</w:t>
            </w:r>
          </w:p>
        </w:tc>
        <w:tc>
          <w:tcPr>
            <w:tcW w:w="0" w:type="auto"/>
            <w:hideMark/>
          </w:tcPr>
          <w:p w14:paraId="60BAB4FC" w14:textId="77777777" w:rsidR="00822610" w:rsidRPr="00822610" w:rsidRDefault="00822610" w:rsidP="008226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Costo estimado</w:t>
            </w:r>
          </w:p>
        </w:tc>
      </w:tr>
      <w:tr w:rsidR="00822610" w:rsidRPr="00822610" w14:paraId="755D3B03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A1B84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🛡️</w:t>
            </w:r>
            <w:r w:rsidRPr="00822610">
              <w:t xml:space="preserve"> Prevención</w:t>
            </w:r>
          </w:p>
        </w:tc>
        <w:tc>
          <w:tcPr>
            <w:tcW w:w="0" w:type="auto"/>
            <w:hideMark/>
          </w:tcPr>
          <w:p w14:paraId="025E43D7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$13,000 MXN</w:t>
            </w:r>
          </w:p>
        </w:tc>
      </w:tr>
      <w:tr w:rsidR="00822610" w:rsidRPr="00822610" w14:paraId="1029C455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DCCDE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🚨</w:t>
            </w:r>
            <w:r w:rsidRPr="00822610">
              <w:t xml:space="preserve"> Mitigación</w:t>
            </w:r>
          </w:p>
        </w:tc>
        <w:tc>
          <w:tcPr>
            <w:tcW w:w="0" w:type="auto"/>
            <w:hideMark/>
          </w:tcPr>
          <w:p w14:paraId="6A9924E8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$7,000 MXN</w:t>
            </w:r>
          </w:p>
        </w:tc>
      </w:tr>
      <w:tr w:rsidR="00822610" w:rsidRPr="00822610" w14:paraId="1F230F7B" w14:textId="77777777" w:rsidTr="0001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DA182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🔄</w:t>
            </w:r>
            <w:r w:rsidRPr="00822610">
              <w:t xml:space="preserve"> Recuperación</w:t>
            </w:r>
          </w:p>
        </w:tc>
        <w:tc>
          <w:tcPr>
            <w:tcW w:w="0" w:type="auto"/>
            <w:hideMark/>
          </w:tcPr>
          <w:p w14:paraId="7C09CDA4" w14:textId="77777777" w:rsidR="00822610" w:rsidRPr="00822610" w:rsidRDefault="00822610" w:rsidP="008226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610">
              <w:t>$7,500 MXN</w:t>
            </w:r>
          </w:p>
        </w:tc>
      </w:tr>
      <w:tr w:rsidR="00822610" w:rsidRPr="00822610" w14:paraId="21B26CB3" w14:textId="77777777" w:rsidTr="00015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5A1C0" w14:textId="77777777" w:rsidR="00822610" w:rsidRPr="00822610" w:rsidRDefault="00822610" w:rsidP="00822610">
            <w:pPr>
              <w:spacing w:after="160" w:line="278" w:lineRule="auto"/>
            </w:pPr>
            <w:r w:rsidRPr="00822610">
              <w:rPr>
                <w:rFonts w:ascii="Segoe UI Emoji" w:hAnsi="Segoe UI Emoji" w:cs="Segoe UI Emoji"/>
              </w:rPr>
              <w:t>💥</w:t>
            </w:r>
            <w:r w:rsidRPr="00822610">
              <w:t xml:space="preserve"> Costo de no hacer nada</w:t>
            </w:r>
          </w:p>
        </w:tc>
        <w:tc>
          <w:tcPr>
            <w:tcW w:w="0" w:type="auto"/>
            <w:hideMark/>
          </w:tcPr>
          <w:p w14:paraId="1BEB01D8" w14:textId="77777777" w:rsidR="00822610" w:rsidRPr="00822610" w:rsidRDefault="00822610" w:rsidP="008226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610">
              <w:t>$95,000 MXN</w:t>
            </w:r>
          </w:p>
        </w:tc>
      </w:tr>
    </w:tbl>
    <w:p w14:paraId="5500CF77" w14:textId="6E2F5CD6" w:rsidR="00822610" w:rsidRPr="00822610" w:rsidRDefault="00822610" w:rsidP="00822610"/>
    <w:p w14:paraId="1B23EA2A" w14:textId="77777777" w:rsidR="00822610" w:rsidRPr="00822610" w:rsidRDefault="00822610" w:rsidP="00822610">
      <w:pPr>
        <w:rPr>
          <w:b/>
          <w:bCs/>
        </w:rPr>
      </w:pPr>
      <w:r w:rsidRPr="00822610">
        <w:rPr>
          <w:rFonts w:ascii="Segoe UI Emoji" w:hAnsi="Segoe UI Emoji" w:cs="Segoe UI Emoji"/>
          <w:b/>
          <w:bCs/>
        </w:rPr>
        <w:t>📈</w:t>
      </w:r>
      <w:r w:rsidRPr="00822610">
        <w:rPr>
          <w:b/>
          <w:bCs/>
        </w:rPr>
        <w:t xml:space="preserve"> Análisis Costo-Beneficio</w:t>
      </w:r>
    </w:p>
    <w:p w14:paraId="4BDB103E" w14:textId="77777777" w:rsidR="00822610" w:rsidRPr="00822610" w:rsidRDefault="00822610" w:rsidP="00822610">
      <w:r w:rsidRPr="00822610">
        <w:rPr>
          <w:b/>
          <w:bCs/>
        </w:rPr>
        <w:t>Costo total de implementar todas las estrategias:</w:t>
      </w:r>
      <w:r w:rsidRPr="00822610">
        <w:br/>
        <w:t xml:space="preserve">$13,000 + $7,000 + $7,500 = </w:t>
      </w:r>
      <w:r w:rsidRPr="00822610">
        <w:rPr>
          <w:b/>
          <w:bCs/>
        </w:rPr>
        <w:t>$27,500 MXN</w:t>
      </w:r>
    </w:p>
    <w:p w14:paraId="2E0B0333" w14:textId="77777777" w:rsidR="00822610" w:rsidRPr="00822610" w:rsidRDefault="00822610" w:rsidP="00822610">
      <w:r w:rsidRPr="00822610">
        <w:rPr>
          <w:b/>
          <w:bCs/>
        </w:rPr>
        <w:t>Ahorro potencial si se previene o controla el riesgo:</w:t>
      </w:r>
      <w:r w:rsidRPr="00822610">
        <w:br/>
        <w:t xml:space="preserve">$95,000 – $27,500 = </w:t>
      </w:r>
      <w:r w:rsidRPr="00822610">
        <w:rPr>
          <w:b/>
          <w:bCs/>
        </w:rPr>
        <w:t>$67,500 MXN</w:t>
      </w:r>
    </w:p>
    <w:p w14:paraId="77868BD9" w14:textId="77777777" w:rsidR="00822610" w:rsidRPr="00822610" w:rsidRDefault="00822610" w:rsidP="00822610">
      <w:r w:rsidRPr="00822610">
        <w:rPr>
          <w:b/>
          <w:bCs/>
        </w:rPr>
        <w:t>(≈ 245% de retorno sobre inversión en claridad visual e interacción)</w:t>
      </w:r>
    </w:p>
    <w:p w14:paraId="691C6507" w14:textId="77777777" w:rsidR="00EE7641" w:rsidRDefault="00EE7641"/>
    <w:sectPr w:rsidR="00EE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05BFA"/>
    <w:multiLevelType w:val="multilevel"/>
    <w:tmpl w:val="912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5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41"/>
    <w:rsid w:val="000159B0"/>
    <w:rsid w:val="00822610"/>
    <w:rsid w:val="00D00F29"/>
    <w:rsid w:val="00E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D43A-40D2-4409-8127-593F1343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641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0159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2025-06-30T02:52:00Z</dcterms:created>
  <dcterms:modified xsi:type="dcterms:W3CDTF">2025-06-30T02:54:00Z</dcterms:modified>
</cp:coreProperties>
</file>