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3115A" w14:textId="77777777" w:rsidR="00C1226D" w:rsidRPr="00C1226D" w:rsidRDefault="00C1226D" w:rsidP="00C1226D">
      <w:pPr>
        <w:rPr>
          <w:b/>
          <w:bCs/>
        </w:rPr>
      </w:pPr>
      <w:r w:rsidRPr="00C1226D">
        <w:rPr>
          <w:b/>
          <w:bCs/>
        </w:rPr>
        <w:t>RIESGO 6: Colores o tipografía no legibles</w:t>
      </w:r>
    </w:p>
    <w:p w14:paraId="589D603E" w14:textId="77777777" w:rsidR="00C1226D" w:rsidRPr="00C1226D" w:rsidRDefault="00C1226D" w:rsidP="00C1226D">
      <w:pPr>
        <w:numPr>
          <w:ilvl w:val="0"/>
          <w:numId w:val="1"/>
        </w:numPr>
      </w:pPr>
      <w:r w:rsidRPr="00C1226D">
        <w:rPr>
          <w:b/>
          <w:bCs/>
        </w:rPr>
        <w:t>Tipo de riesgo:</w:t>
      </w:r>
      <w:r w:rsidRPr="00C1226D">
        <w:t xml:space="preserve"> Técnico / UX / Calidad visual</w:t>
      </w:r>
    </w:p>
    <w:p w14:paraId="28820D5B" w14:textId="77777777" w:rsidR="00C1226D" w:rsidRPr="00C1226D" w:rsidRDefault="00C1226D" w:rsidP="00C1226D">
      <w:pPr>
        <w:numPr>
          <w:ilvl w:val="0"/>
          <w:numId w:val="1"/>
        </w:numPr>
      </w:pPr>
      <w:r w:rsidRPr="00C1226D">
        <w:rPr>
          <w:b/>
          <w:bCs/>
        </w:rPr>
        <w:t>Categoría:</w:t>
      </w:r>
      <w:r w:rsidRPr="00C1226D">
        <w:t xml:space="preserve"> Experiencia de usuario (UX) / Diseño UI / Accesibilidad (A11Y)</w:t>
      </w:r>
    </w:p>
    <w:p w14:paraId="204725F1" w14:textId="77777777" w:rsidR="00C1226D" w:rsidRPr="00C1226D" w:rsidRDefault="00C1226D" w:rsidP="00C1226D">
      <w:pPr>
        <w:numPr>
          <w:ilvl w:val="0"/>
          <w:numId w:val="1"/>
        </w:numPr>
      </w:pPr>
      <w:r w:rsidRPr="00C1226D">
        <w:rPr>
          <w:b/>
          <w:bCs/>
        </w:rPr>
        <w:t>Descripción:</w:t>
      </w:r>
      <w:r w:rsidRPr="00C1226D">
        <w:br/>
        <w:t>El uso inadecuado de colores o tipografías dificulta la lectura y comprensión del contenido, generando frustración en los usuarios, abandono del sitio y posibles problemas de accesibilidad para personas con discapacidad visual.</w:t>
      </w:r>
    </w:p>
    <w:p w14:paraId="648745C5" w14:textId="33DD2E3A" w:rsidR="00C1226D" w:rsidRPr="00C1226D" w:rsidRDefault="00C1226D" w:rsidP="00C1226D"/>
    <w:p w14:paraId="348C91C0" w14:textId="77777777" w:rsidR="00C1226D" w:rsidRPr="00C1226D" w:rsidRDefault="00C1226D" w:rsidP="00C1226D">
      <w:pPr>
        <w:rPr>
          <w:b/>
          <w:bCs/>
        </w:rPr>
      </w:pPr>
      <w:r w:rsidRPr="00C1226D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60"/>
        <w:gridCol w:w="6768"/>
      </w:tblGrid>
      <w:tr w:rsidR="00C1226D" w:rsidRPr="00C1226D" w14:paraId="561C17DD" w14:textId="77777777" w:rsidTr="00191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03DE8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Elemento</w:t>
            </w:r>
          </w:p>
        </w:tc>
        <w:tc>
          <w:tcPr>
            <w:tcW w:w="0" w:type="auto"/>
            <w:hideMark/>
          </w:tcPr>
          <w:p w14:paraId="5D13A7E0" w14:textId="77777777" w:rsidR="00C1226D" w:rsidRPr="00C1226D" w:rsidRDefault="00C1226D" w:rsidP="00C122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Detalle</w:t>
            </w:r>
          </w:p>
        </w:tc>
      </w:tr>
      <w:tr w:rsidR="00C1226D" w:rsidRPr="00C1226D" w14:paraId="21F88723" w14:textId="77777777" w:rsidTr="00191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C4ACF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Nombre del riesgo</w:t>
            </w:r>
          </w:p>
        </w:tc>
        <w:tc>
          <w:tcPr>
            <w:tcW w:w="0" w:type="auto"/>
            <w:hideMark/>
          </w:tcPr>
          <w:p w14:paraId="4E5EB2A7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Colores o tipografía no legibles</w:t>
            </w:r>
          </w:p>
        </w:tc>
      </w:tr>
      <w:tr w:rsidR="00C1226D" w:rsidRPr="00C1226D" w14:paraId="58F96703" w14:textId="77777777" w:rsidTr="00191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514B8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Categoría</w:t>
            </w:r>
          </w:p>
        </w:tc>
        <w:tc>
          <w:tcPr>
            <w:tcW w:w="0" w:type="auto"/>
            <w:hideMark/>
          </w:tcPr>
          <w:p w14:paraId="7ED8A9DC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UX / Diseño UI / Accesibilidad</w:t>
            </w:r>
          </w:p>
        </w:tc>
      </w:tr>
      <w:tr w:rsidR="00C1226D" w:rsidRPr="00C1226D" w14:paraId="46CCD208" w14:textId="77777777" w:rsidTr="00191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1D54C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Causas probables</w:t>
            </w:r>
          </w:p>
        </w:tc>
        <w:tc>
          <w:tcPr>
            <w:tcW w:w="0" w:type="auto"/>
            <w:hideMark/>
          </w:tcPr>
          <w:p w14:paraId="4290C470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Desconocimiento de contrastes adecuados, falta de pruebas visuales, presión estética sobre funcionalidad.</w:t>
            </w:r>
          </w:p>
        </w:tc>
      </w:tr>
      <w:tr w:rsidR="00C1226D" w:rsidRPr="00C1226D" w14:paraId="1F291813" w14:textId="77777777" w:rsidTr="00191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2527A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Consecuencias</w:t>
            </w:r>
          </w:p>
        </w:tc>
        <w:tc>
          <w:tcPr>
            <w:tcW w:w="0" w:type="auto"/>
            <w:hideMark/>
          </w:tcPr>
          <w:p w14:paraId="0042D66F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Baja legibilidad, exclusión de usuarios, abandono de la plataforma, críticas negativas.</w:t>
            </w:r>
          </w:p>
        </w:tc>
      </w:tr>
      <w:tr w:rsidR="00C1226D" w:rsidRPr="00C1226D" w14:paraId="358F8955" w14:textId="77777777" w:rsidTr="00191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D49C7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Fuente</w:t>
            </w:r>
          </w:p>
        </w:tc>
        <w:tc>
          <w:tcPr>
            <w:tcW w:w="0" w:type="auto"/>
            <w:hideMark/>
          </w:tcPr>
          <w:p w14:paraId="755413FB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Falta de guías de diseño accesibles, pruebas limitadas, decisiones subjetivas de diseño.</w:t>
            </w:r>
          </w:p>
        </w:tc>
      </w:tr>
    </w:tbl>
    <w:p w14:paraId="5E94532D" w14:textId="7135B13C" w:rsidR="00C1226D" w:rsidRPr="00C1226D" w:rsidRDefault="00C1226D" w:rsidP="00C1226D"/>
    <w:p w14:paraId="7B47C241" w14:textId="77777777" w:rsidR="00C1226D" w:rsidRPr="00C1226D" w:rsidRDefault="00C1226D" w:rsidP="00C1226D">
      <w:pPr>
        <w:rPr>
          <w:b/>
          <w:bCs/>
        </w:rPr>
      </w:pPr>
      <w:r w:rsidRPr="00C1226D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08"/>
        <w:gridCol w:w="6420"/>
      </w:tblGrid>
      <w:tr w:rsidR="00C1226D" w:rsidRPr="00C1226D" w14:paraId="27BD2FB9" w14:textId="77777777" w:rsidTr="00191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440D0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Criterio</w:t>
            </w:r>
          </w:p>
        </w:tc>
        <w:tc>
          <w:tcPr>
            <w:tcW w:w="0" w:type="auto"/>
            <w:hideMark/>
          </w:tcPr>
          <w:p w14:paraId="57670F27" w14:textId="77777777" w:rsidR="00C1226D" w:rsidRPr="00C1226D" w:rsidRDefault="00C1226D" w:rsidP="00C122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Valoración</w:t>
            </w:r>
          </w:p>
        </w:tc>
      </w:tr>
      <w:tr w:rsidR="00C1226D" w:rsidRPr="00C1226D" w14:paraId="520F51A2" w14:textId="77777777" w:rsidTr="00191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C9CE8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Probabilidad de ocurrencia</w:t>
            </w:r>
          </w:p>
        </w:tc>
        <w:tc>
          <w:tcPr>
            <w:tcW w:w="0" w:type="auto"/>
            <w:hideMark/>
          </w:tcPr>
          <w:p w14:paraId="6D7C3BCE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Alta</w:t>
            </w:r>
          </w:p>
        </w:tc>
      </w:tr>
      <w:tr w:rsidR="00C1226D" w:rsidRPr="00C1226D" w14:paraId="3C45056B" w14:textId="77777777" w:rsidTr="00191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BA12C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Impacto potencial</w:t>
            </w:r>
          </w:p>
        </w:tc>
        <w:tc>
          <w:tcPr>
            <w:tcW w:w="0" w:type="auto"/>
            <w:hideMark/>
          </w:tcPr>
          <w:p w14:paraId="2922EF5A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Moderado-Alto (afecta experiencia y cumplimiento A11Y)</w:t>
            </w:r>
          </w:p>
        </w:tc>
      </w:tr>
      <w:tr w:rsidR="00C1226D" w:rsidRPr="00C1226D" w14:paraId="7E36118A" w14:textId="77777777" w:rsidTr="00191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DBCC7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Nivel de riesgo</w:t>
            </w:r>
          </w:p>
        </w:tc>
        <w:tc>
          <w:tcPr>
            <w:tcW w:w="0" w:type="auto"/>
            <w:hideMark/>
          </w:tcPr>
          <w:p w14:paraId="416FEF24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Alto</w:t>
            </w:r>
          </w:p>
        </w:tc>
      </w:tr>
      <w:tr w:rsidR="00C1226D" w:rsidRPr="00C1226D" w14:paraId="43717C1F" w14:textId="77777777" w:rsidTr="00191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BD6B0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Indicadores de riesgo</w:t>
            </w:r>
          </w:p>
        </w:tc>
        <w:tc>
          <w:tcPr>
            <w:tcW w:w="0" w:type="auto"/>
            <w:hideMark/>
          </w:tcPr>
          <w:p w14:paraId="27780C02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226D">
              <w:t>Feedback</w:t>
            </w:r>
            <w:proofErr w:type="spellEnd"/>
            <w:r w:rsidRPr="00C1226D">
              <w:t xml:space="preserve"> negativo, baja interacción, quejas sobre visibilidad, problemas en auditorías de accesibilidad.</w:t>
            </w:r>
          </w:p>
        </w:tc>
      </w:tr>
    </w:tbl>
    <w:p w14:paraId="73B39178" w14:textId="53A161E7" w:rsidR="00C1226D" w:rsidRPr="00C1226D" w:rsidRDefault="00C1226D" w:rsidP="00C1226D"/>
    <w:p w14:paraId="4AE08B20" w14:textId="77777777" w:rsidR="00C1226D" w:rsidRPr="00C1226D" w:rsidRDefault="00C1226D" w:rsidP="00C1226D">
      <w:pPr>
        <w:rPr>
          <w:b/>
          <w:bCs/>
        </w:rPr>
      </w:pPr>
      <w:r w:rsidRPr="00C1226D">
        <w:rPr>
          <w:b/>
          <w:bCs/>
        </w:rPr>
        <w:lastRenderedPageBreak/>
        <w:t>3. DEFINICIÓN DE MEDIDAS DE CONTROL</w:t>
      </w:r>
    </w:p>
    <w:p w14:paraId="23461F12" w14:textId="77777777" w:rsidR="00C1226D" w:rsidRPr="00C1226D" w:rsidRDefault="00C1226D" w:rsidP="00C1226D">
      <w:pPr>
        <w:rPr>
          <w:b/>
          <w:bCs/>
        </w:rPr>
      </w:pPr>
      <w:r w:rsidRPr="00C1226D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20"/>
        <w:gridCol w:w="1722"/>
        <w:gridCol w:w="3486"/>
      </w:tblGrid>
      <w:tr w:rsidR="00C1226D" w:rsidRPr="00C1226D" w14:paraId="3A676248" w14:textId="77777777" w:rsidTr="00D70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2C436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Acción</w:t>
            </w:r>
          </w:p>
        </w:tc>
        <w:tc>
          <w:tcPr>
            <w:tcW w:w="0" w:type="auto"/>
            <w:hideMark/>
          </w:tcPr>
          <w:p w14:paraId="54CE412E" w14:textId="77777777" w:rsidR="00C1226D" w:rsidRPr="00C1226D" w:rsidRDefault="00C1226D" w:rsidP="00C122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Responsable</w:t>
            </w:r>
          </w:p>
        </w:tc>
        <w:tc>
          <w:tcPr>
            <w:tcW w:w="0" w:type="auto"/>
            <w:hideMark/>
          </w:tcPr>
          <w:p w14:paraId="07A75B54" w14:textId="77777777" w:rsidR="00C1226D" w:rsidRPr="00C1226D" w:rsidRDefault="00C1226D" w:rsidP="00C122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Herramientas / Recursos</w:t>
            </w:r>
          </w:p>
        </w:tc>
      </w:tr>
      <w:tr w:rsidR="00C1226D" w:rsidRPr="00C1226D" w14:paraId="082A79D3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249E9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Definir estándares de contraste y tipografía legible</w:t>
            </w:r>
          </w:p>
        </w:tc>
        <w:tc>
          <w:tcPr>
            <w:tcW w:w="0" w:type="auto"/>
            <w:hideMark/>
          </w:tcPr>
          <w:p w14:paraId="434A3CBF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UX / Dirección</w:t>
            </w:r>
          </w:p>
        </w:tc>
        <w:tc>
          <w:tcPr>
            <w:tcW w:w="0" w:type="auto"/>
            <w:hideMark/>
          </w:tcPr>
          <w:p w14:paraId="120941B5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WCAG 2.1, guías internas, herramientas de contraste</w:t>
            </w:r>
          </w:p>
        </w:tc>
      </w:tr>
      <w:tr w:rsidR="00C1226D" w:rsidRPr="00C1226D" w14:paraId="5B6D5B19" w14:textId="77777777" w:rsidTr="00D7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0488D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Capacitar en accesibilidad visual y legibilidad</w:t>
            </w:r>
          </w:p>
        </w:tc>
        <w:tc>
          <w:tcPr>
            <w:tcW w:w="0" w:type="auto"/>
            <w:hideMark/>
          </w:tcPr>
          <w:p w14:paraId="1A3C2C35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RRHH / Diseño</w:t>
            </w:r>
          </w:p>
        </w:tc>
        <w:tc>
          <w:tcPr>
            <w:tcW w:w="0" w:type="auto"/>
            <w:hideMark/>
          </w:tcPr>
          <w:p w14:paraId="11789EB6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Cursos, talleres, ejemplos prácticos</w:t>
            </w:r>
          </w:p>
        </w:tc>
      </w:tr>
      <w:tr w:rsidR="00C1226D" w:rsidRPr="00C1226D" w14:paraId="376307A7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CA3A7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Realizar pruebas de contraste y legibilidad</w:t>
            </w:r>
          </w:p>
        </w:tc>
        <w:tc>
          <w:tcPr>
            <w:tcW w:w="0" w:type="auto"/>
            <w:hideMark/>
          </w:tcPr>
          <w:p w14:paraId="502F01C7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QA / Diseño</w:t>
            </w:r>
          </w:p>
        </w:tc>
        <w:tc>
          <w:tcPr>
            <w:tcW w:w="0" w:type="auto"/>
            <w:hideMark/>
          </w:tcPr>
          <w:p w14:paraId="36640D67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1226D">
              <w:t>Contrast</w:t>
            </w:r>
            <w:proofErr w:type="spellEnd"/>
            <w:r w:rsidRPr="00C1226D">
              <w:t xml:space="preserve"> </w:t>
            </w:r>
            <w:proofErr w:type="spellStart"/>
            <w:r w:rsidRPr="00C1226D">
              <w:t>Checker</w:t>
            </w:r>
            <w:proofErr w:type="spellEnd"/>
            <w:r w:rsidRPr="00C1226D">
              <w:t xml:space="preserve">, </w:t>
            </w:r>
            <w:proofErr w:type="spellStart"/>
            <w:r w:rsidRPr="00C1226D">
              <w:t>Lighthouse</w:t>
            </w:r>
            <w:proofErr w:type="spellEnd"/>
            <w:r w:rsidRPr="00C1226D">
              <w:t>, pruebas de usuarios</w:t>
            </w:r>
          </w:p>
        </w:tc>
      </w:tr>
      <w:tr w:rsidR="00C1226D" w:rsidRPr="00C1226D" w14:paraId="24912705" w14:textId="77777777" w:rsidTr="00D7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96656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Revisar periódicamente componentes visuales</w:t>
            </w:r>
          </w:p>
        </w:tc>
        <w:tc>
          <w:tcPr>
            <w:tcW w:w="0" w:type="auto"/>
            <w:hideMark/>
          </w:tcPr>
          <w:p w14:paraId="6847D4D2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Líder de Diseño</w:t>
            </w:r>
          </w:p>
        </w:tc>
        <w:tc>
          <w:tcPr>
            <w:tcW w:w="0" w:type="auto"/>
            <w:hideMark/>
          </w:tcPr>
          <w:p w14:paraId="26BC6591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226D">
              <w:t>Checklists</w:t>
            </w:r>
            <w:proofErr w:type="spellEnd"/>
            <w:r w:rsidRPr="00C1226D">
              <w:t>, sesiones de revisión</w:t>
            </w:r>
          </w:p>
        </w:tc>
      </w:tr>
    </w:tbl>
    <w:p w14:paraId="6F92BF42" w14:textId="77777777" w:rsidR="00C1226D" w:rsidRPr="00C1226D" w:rsidRDefault="00C1226D" w:rsidP="00C1226D">
      <w:pPr>
        <w:rPr>
          <w:b/>
          <w:bCs/>
        </w:rPr>
      </w:pPr>
      <w:r w:rsidRPr="00C1226D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02"/>
        <w:gridCol w:w="1914"/>
        <w:gridCol w:w="3112"/>
      </w:tblGrid>
      <w:tr w:rsidR="00C1226D" w:rsidRPr="00C1226D" w14:paraId="6C9994F0" w14:textId="77777777" w:rsidTr="00D70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03C03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Acción</w:t>
            </w:r>
          </w:p>
        </w:tc>
        <w:tc>
          <w:tcPr>
            <w:tcW w:w="0" w:type="auto"/>
            <w:hideMark/>
          </w:tcPr>
          <w:p w14:paraId="48CB34CD" w14:textId="77777777" w:rsidR="00C1226D" w:rsidRPr="00C1226D" w:rsidRDefault="00C1226D" w:rsidP="00C122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Responsable</w:t>
            </w:r>
          </w:p>
        </w:tc>
        <w:tc>
          <w:tcPr>
            <w:tcW w:w="0" w:type="auto"/>
            <w:hideMark/>
          </w:tcPr>
          <w:p w14:paraId="36B58419" w14:textId="77777777" w:rsidR="00C1226D" w:rsidRPr="00C1226D" w:rsidRDefault="00C1226D" w:rsidP="00C122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Herramientas / Recursos</w:t>
            </w:r>
          </w:p>
        </w:tc>
      </w:tr>
      <w:tr w:rsidR="00C1226D" w:rsidRPr="00C1226D" w14:paraId="7863BDBD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39D91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Detectar y reemplazar colores o fuentes no legibles</w:t>
            </w:r>
          </w:p>
        </w:tc>
        <w:tc>
          <w:tcPr>
            <w:tcW w:w="0" w:type="auto"/>
            <w:hideMark/>
          </w:tcPr>
          <w:p w14:paraId="4EF0B08C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Diseño / Desarrollo</w:t>
            </w:r>
          </w:p>
        </w:tc>
        <w:tc>
          <w:tcPr>
            <w:tcW w:w="0" w:type="auto"/>
            <w:hideMark/>
          </w:tcPr>
          <w:p w14:paraId="02B1C1C8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Herramientas de UI, hojas de estilo, revisión rápida</w:t>
            </w:r>
          </w:p>
        </w:tc>
      </w:tr>
      <w:tr w:rsidR="00C1226D" w:rsidRPr="00C1226D" w14:paraId="322FB7B2" w14:textId="77777777" w:rsidTr="00D7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302AF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Comunicar ajustes a usuarios y recoger retroalimentación</w:t>
            </w:r>
          </w:p>
        </w:tc>
        <w:tc>
          <w:tcPr>
            <w:tcW w:w="0" w:type="auto"/>
            <w:hideMark/>
          </w:tcPr>
          <w:p w14:paraId="483ACA44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Comunicación</w:t>
            </w:r>
          </w:p>
        </w:tc>
        <w:tc>
          <w:tcPr>
            <w:tcW w:w="0" w:type="auto"/>
            <w:hideMark/>
          </w:tcPr>
          <w:p w14:paraId="126E729D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Encuestas rápidas, banners informativos</w:t>
            </w:r>
          </w:p>
        </w:tc>
      </w:tr>
      <w:tr w:rsidR="00C1226D" w:rsidRPr="00C1226D" w14:paraId="7F24910D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6E627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Priorizar cambios en interfaz visual</w:t>
            </w:r>
          </w:p>
        </w:tc>
        <w:tc>
          <w:tcPr>
            <w:tcW w:w="0" w:type="auto"/>
            <w:hideMark/>
          </w:tcPr>
          <w:p w14:paraId="7CD852BC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PM / Diseño</w:t>
            </w:r>
          </w:p>
        </w:tc>
        <w:tc>
          <w:tcPr>
            <w:tcW w:w="0" w:type="auto"/>
            <w:hideMark/>
          </w:tcPr>
          <w:p w14:paraId="11EAFE25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Gestión de backlog, criterios de aceptación</w:t>
            </w:r>
          </w:p>
        </w:tc>
      </w:tr>
    </w:tbl>
    <w:p w14:paraId="38DDA818" w14:textId="77777777" w:rsidR="00C1226D" w:rsidRPr="00C1226D" w:rsidRDefault="00C1226D" w:rsidP="00C1226D">
      <w:pPr>
        <w:rPr>
          <w:b/>
          <w:bCs/>
        </w:rPr>
      </w:pPr>
      <w:r w:rsidRPr="00C1226D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05"/>
        <w:gridCol w:w="1709"/>
        <w:gridCol w:w="3014"/>
      </w:tblGrid>
      <w:tr w:rsidR="00C1226D" w:rsidRPr="00C1226D" w14:paraId="3737ED69" w14:textId="77777777" w:rsidTr="00D70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66AAD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Acción</w:t>
            </w:r>
          </w:p>
        </w:tc>
        <w:tc>
          <w:tcPr>
            <w:tcW w:w="0" w:type="auto"/>
            <w:hideMark/>
          </w:tcPr>
          <w:p w14:paraId="01B72D0B" w14:textId="77777777" w:rsidR="00C1226D" w:rsidRPr="00C1226D" w:rsidRDefault="00C1226D" w:rsidP="00C122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Responsable</w:t>
            </w:r>
          </w:p>
        </w:tc>
        <w:tc>
          <w:tcPr>
            <w:tcW w:w="0" w:type="auto"/>
            <w:hideMark/>
          </w:tcPr>
          <w:p w14:paraId="6B47A954" w14:textId="77777777" w:rsidR="00C1226D" w:rsidRPr="00C1226D" w:rsidRDefault="00C1226D" w:rsidP="00C122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Herramientas / Recursos</w:t>
            </w:r>
          </w:p>
        </w:tc>
      </w:tr>
      <w:tr w:rsidR="00C1226D" w:rsidRPr="00C1226D" w14:paraId="542566A2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BA34B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Documentar errores y aplicar lecciones aprendidas</w:t>
            </w:r>
          </w:p>
        </w:tc>
        <w:tc>
          <w:tcPr>
            <w:tcW w:w="0" w:type="auto"/>
            <w:hideMark/>
          </w:tcPr>
          <w:p w14:paraId="28D45F65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QA / Diseño</w:t>
            </w:r>
          </w:p>
        </w:tc>
        <w:tc>
          <w:tcPr>
            <w:tcW w:w="0" w:type="auto"/>
            <w:hideMark/>
          </w:tcPr>
          <w:p w14:paraId="765C75F0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 xml:space="preserve">Reportes </w:t>
            </w:r>
            <w:proofErr w:type="spellStart"/>
            <w:r w:rsidRPr="00C1226D">
              <w:t>post-mortem</w:t>
            </w:r>
            <w:proofErr w:type="spellEnd"/>
          </w:p>
        </w:tc>
      </w:tr>
      <w:tr w:rsidR="00C1226D" w:rsidRPr="00C1226D" w14:paraId="688D124A" w14:textId="77777777" w:rsidTr="00D7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F24CD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Actualizar librerías visuales y estilos estándar</w:t>
            </w:r>
          </w:p>
        </w:tc>
        <w:tc>
          <w:tcPr>
            <w:tcW w:w="0" w:type="auto"/>
            <w:hideMark/>
          </w:tcPr>
          <w:p w14:paraId="40939F0B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UX / Dirección</w:t>
            </w:r>
          </w:p>
        </w:tc>
        <w:tc>
          <w:tcPr>
            <w:tcW w:w="0" w:type="auto"/>
            <w:hideMark/>
          </w:tcPr>
          <w:p w14:paraId="7A494947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Sistemas de diseño</w:t>
            </w:r>
          </w:p>
        </w:tc>
      </w:tr>
      <w:tr w:rsidR="00C1226D" w:rsidRPr="00C1226D" w14:paraId="76127713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39780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Reforzar prácticas de validación visual</w:t>
            </w:r>
          </w:p>
        </w:tc>
        <w:tc>
          <w:tcPr>
            <w:tcW w:w="0" w:type="auto"/>
            <w:hideMark/>
          </w:tcPr>
          <w:p w14:paraId="2FD7AB38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RRHH / Diseño</w:t>
            </w:r>
          </w:p>
        </w:tc>
        <w:tc>
          <w:tcPr>
            <w:tcW w:w="0" w:type="auto"/>
            <w:hideMark/>
          </w:tcPr>
          <w:p w14:paraId="7FD05324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Talleres internos, sesiones técnicas</w:t>
            </w:r>
          </w:p>
        </w:tc>
      </w:tr>
    </w:tbl>
    <w:p w14:paraId="3D6EFC6E" w14:textId="29D46131" w:rsidR="00C1226D" w:rsidRPr="00C1226D" w:rsidRDefault="00C1226D" w:rsidP="00C1226D"/>
    <w:p w14:paraId="65D6CA6C" w14:textId="77777777" w:rsidR="00C1226D" w:rsidRPr="00C1226D" w:rsidRDefault="00C1226D" w:rsidP="00C1226D">
      <w:pPr>
        <w:rPr>
          <w:b/>
          <w:bCs/>
        </w:rPr>
      </w:pPr>
      <w:r w:rsidRPr="00C1226D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99"/>
        <w:gridCol w:w="3271"/>
        <w:gridCol w:w="2058"/>
      </w:tblGrid>
      <w:tr w:rsidR="00C1226D" w:rsidRPr="00C1226D" w14:paraId="7DB886CD" w14:textId="77777777" w:rsidTr="00D70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06F7E" w14:textId="77777777" w:rsidR="00C1226D" w:rsidRPr="00C1226D" w:rsidRDefault="00C1226D" w:rsidP="00C1226D">
            <w:pPr>
              <w:spacing w:after="160" w:line="278" w:lineRule="auto"/>
            </w:pPr>
            <w:r w:rsidRPr="00C1226D">
              <w:lastRenderedPageBreak/>
              <w:t>Escenario de materialización</w:t>
            </w:r>
          </w:p>
        </w:tc>
        <w:tc>
          <w:tcPr>
            <w:tcW w:w="0" w:type="auto"/>
            <w:hideMark/>
          </w:tcPr>
          <w:p w14:paraId="036221F3" w14:textId="77777777" w:rsidR="00C1226D" w:rsidRPr="00C1226D" w:rsidRDefault="00C1226D" w:rsidP="00C122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Impacto directo</w:t>
            </w:r>
          </w:p>
        </w:tc>
        <w:tc>
          <w:tcPr>
            <w:tcW w:w="0" w:type="auto"/>
            <w:hideMark/>
          </w:tcPr>
          <w:p w14:paraId="66BD0D6A" w14:textId="77777777" w:rsidR="00C1226D" w:rsidRPr="00C1226D" w:rsidRDefault="00C1226D" w:rsidP="00C122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Costo estimado (MXN)</w:t>
            </w:r>
          </w:p>
        </w:tc>
      </w:tr>
      <w:tr w:rsidR="00C1226D" w:rsidRPr="00C1226D" w14:paraId="216D5A3A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86ADF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Baja legibilidad y abandono de usuarios</w:t>
            </w:r>
          </w:p>
        </w:tc>
        <w:tc>
          <w:tcPr>
            <w:tcW w:w="0" w:type="auto"/>
            <w:hideMark/>
          </w:tcPr>
          <w:p w14:paraId="62C8C55A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Reducción de uso y conversión</w:t>
            </w:r>
          </w:p>
        </w:tc>
        <w:tc>
          <w:tcPr>
            <w:tcW w:w="0" w:type="auto"/>
            <w:hideMark/>
          </w:tcPr>
          <w:p w14:paraId="4B47ED74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$60,000 MXN</w:t>
            </w:r>
          </w:p>
        </w:tc>
      </w:tr>
      <w:tr w:rsidR="00C1226D" w:rsidRPr="00C1226D" w14:paraId="5CA57051" w14:textId="77777777" w:rsidTr="00D7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B29CD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Quejas y soporte por problemas visuales</w:t>
            </w:r>
          </w:p>
        </w:tc>
        <w:tc>
          <w:tcPr>
            <w:tcW w:w="0" w:type="auto"/>
            <w:hideMark/>
          </w:tcPr>
          <w:p w14:paraId="41EF894B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Aumento de atención al cliente</w:t>
            </w:r>
          </w:p>
        </w:tc>
        <w:tc>
          <w:tcPr>
            <w:tcW w:w="0" w:type="auto"/>
            <w:hideMark/>
          </w:tcPr>
          <w:p w14:paraId="1D72EAC6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$20,000 MXN</w:t>
            </w:r>
          </w:p>
        </w:tc>
      </w:tr>
      <w:tr w:rsidR="00C1226D" w:rsidRPr="00C1226D" w14:paraId="1591170A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2AAB7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Fallos en cumplimiento de accesibilidad</w:t>
            </w:r>
          </w:p>
        </w:tc>
        <w:tc>
          <w:tcPr>
            <w:tcW w:w="0" w:type="auto"/>
            <w:hideMark/>
          </w:tcPr>
          <w:p w14:paraId="19EC1FC6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Penalizaciones o pérdida de licitaciones</w:t>
            </w:r>
          </w:p>
        </w:tc>
        <w:tc>
          <w:tcPr>
            <w:tcW w:w="0" w:type="auto"/>
            <w:hideMark/>
          </w:tcPr>
          <w:p w14:paraId="128BBAFC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$40,000 MXN</w:t>
            </w:r>
          </w:p>
        </w:tc>
      </w:tr>
      <w:tr w:rsidR="00C1226D" w:rsidRPr="00C1226D" w14:paraId="219B689A" w14:textId="77777777" w:rsidTr="00D7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D84AA" w14:textId="77777777" w:rsidR="00C1226D" w:rsidRPr="00C1226D" w:rsidRDefault="00C1226D" w:rsidP="00C1226D">
            <w:pPr>
              <w:spacing w:after="160" w:line="278" w:lineRule="auto"/>
            </w:pPr>
            <w:proofErr w:type="gramStart"/>
            <w:r w:rsidRPr="00C1226D">
              <w:t>Total</w:t>
            </w:r>
            <w:proofErr w:type="gramEnd"/>
            <w:r w:rsidRPr="00C1226D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F476A24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1BFAEA3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 xml:space="preserve">→ </w:t>
            </w:r>
            <w:r w:rsidRPr="00C1226D">
              <w:rPr>
                <w:b/>
                <w:bCs/>
              </w:rPr>
              <w:t>$120,000 MXN</w:t>
            </w:r>
          </w:p>
        </w:tc>
      </w:tr>
    </w:tbl>
    <w:p w14:paraId="62089710" w14:textId="27E8D231" w:rsidR="00C1226D" w:rsidRPr="00C1226D" w:rsidRDefault="00C1226D" w:rsidP="00C1226D"/>
    <w:p w14:paraId="7E9826B6" w14:textId="77777777" w:rsidR="00C1226D" w:rsidRPr="00C1226D" w:rsidRDefault="00C1226D" w:rsidP="00C1226D">
      <w:pPr>
        <w:rPr>
          <w:b/>
          <w:bCs/>
        </w:rPr>
      </w:pPr>
      <w:r w:rsidRPr="00C1226D">
        <w:rPr>
          <w:b/>
          <w:bCs/>
        </w:rPr>
        <w:t>5. Costo de Implementación de Estrategias de Control</w:t>
      </w:r>
    </w:p>
    <w:p w14:paraId="2E121585" w14:textId="77777777" w:rsidR="00C1226D" w:rsidRPr="00C1226D" w:rsidRDefault="00C1226D" w:rsidP="00C1226D">
      <w:pPr>
        <w:rPr>
          <w:b/>
          <w:bCs/>
        </w:rPr>
      </w:pPr>
      <w:r w:rsidRPr="00C1226D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21"/>
        <w:gridCol w:w="1942"/>
      </w:tblGrid>
      <w:tr w:rsidR="00C1226D" w:rsidRPr="00C1226D" w14:paraId="17091E57" w14:textId="77777777" w:rsidTr="00D70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05D78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Acción</w:t>
            </w:r>
          </w:p>
        </w:tc>
        <w:tc>
          <w:tcPr>
            <w:tcW w:w="0" w:type="auto"/>
            <w:hideMark/>
          </w:tcPr>
          <w:p w14:paraId="029E8962" w14:textId="77777777" w:rsidR="00C1226D" w:rsidRPr="00C1226D" w:rsidRDefault="00C1226D" w:rsidP="00C122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Costo estimado</w:t>
            </w:r>
          </w:p>
        </w:tc>
      </w:tr>
      <w:tr w:rsidR="00C1226D" w:rsidRPr="00C1226D" w14:paraId="3FD861EE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DA9C0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Definición de estándares visuales accesibles</w:t>
            </w:r>
          </w:p>
        </w:tc>
        <w:tc>
          <w:tcPr>
            <w:tcW w:w="0" w:type="auto"/>
            <w:hideMark/>
          </w:tcPr>
          <w:p w14:paraId="79C619CA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$4,000 MXN</w:t>
            </w:r>
          </w:p>
        </w:tc>
      </w:tr>
      <w:tr w:rsidR="00C1226D" w:rsidRPr="00C1226D" w14:paraId="7F4B4E4A" w14:textId="77777777" w:rsidTr="00D7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1B190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Capacitación en legibilidad y contrastes</w:t>
            </w:r>
          </w:p>
        </w:tc>
        <w:tc>
          <w:tcPr>
            <w:tcW w:w="0" w:type="auto"/>
            <w:hideMark/>
          </w:tcPr>
          <w:p w14:paraId="6C75D3CD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$3,500 MXN</w:t>
            </w:r>
          </w:p>
        </w:tc>
      </w:tr>
      <w:tr w:rsidR="00C1226D" w:rsidRPr="00C1226D" w14:paraId="1E1CDCB3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75F9A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Pruebas de contraste y legibilidad</w:t>
            </w:r>
          </w:p>
        </w:tc>
        <w:tc>
          <w:tcPr>
            <w:tcW w:w="0" w:type="auto"/>
            <w:hideMark/>
          </w:tcPr>
          <w:p w14:paraId="40EB4E05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$3,000 MXN</w:t>
            </w:r>
          </w:p>
        </w:tc>
      </w:tr>
      <w:tr w:rsidR="00C1226D" w:rsidRPr="00C1226D" w14:paraId="2D05E695" w14:textId="77777777" w:rsidTr="00D7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B926C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Revisión periódica de componentes visuales</w:t>
            </w:r>
          </w:p>
        </w:tc>
        <w:tc>
          <w:tcPr>
            <w:tcW w:w="0" w:type="auto"/>
            <w:hideMark/>
          </w:tcPr>
          <w:p w14:paraId="723D1971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$2,500 MXN</w:t>
            </w:r>
          </w:p>
        </w:tc>
      </w:tr>
      <w:tr w:rsidR="00C1226D" w:rsidRPr="00C1226D" w14:paraId="4C6B7277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BB692" w14:textId="77777777" w:rsidR="00C1226D" w:rsidRPr="00C1226D" w:rsidRDefault="00C1226D" w:rsidP="00C1226D">
            <w:pPr>
              <w:spacing w:after="160" w:line="278" w:lineRule="auto"/>
            </w:pPr>
            <w:r w:rsidRPr="00C1226D">
              <w:rPr>
                <w:rFonts w:ascii="Segoe UI Emoji" w:hAnsi="Segoe UI Emoji" w:cs="Segoe UI Emoji"/>
              </w:rPr>
              <w:t>🛡️</w:t>
            </w:r>
            <w:r w:rsidRPr="00C1226D">
              <w:t xml:space="preserve"> Total medidas preventivas:</w:t>
            </w:r>
          </w:p>
        </w:tc>
        <w:tc>
          <w:tcPr>
            <w:tcW w:w="0" w:type="auto"/>
            <w:hideMark/>
          </w:tcPr>
          <w:p w14:paraId="7D47F413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rPr>
                <w:b/>
                <w:bCs/>
              </w:rPr>
              <w:t>$13,000 MXN</w:t>
            </w:r>
          </w:p>
        </w:tc>
      </w:tr>
    </w:tbl>
    <w:p w14:paraId="511318EB" w14:textId="77777777" w:rsidR="00C1226D" w:rsidRPr="00C1226D" w:rsidRDefault="00C1226D" w:rsidP="00C1226D">
      <w:pPr>
        <w:rPr>
          <w:b/>
          <w:bCs/>
        </w:rPr>
      </w:pPr>
      <w:r w:rsidRPr="00C1226D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1"/>
        <w:gridCol w:w="1942"/>
      </w:tblGrid>
      <w:tr w:rsidR="00C1226D" w:rsidRPr="00C1226D" w14:paraId="5260288C" w14:textId="77777777" w:rsidTr="00D70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FD978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Acción</w:t>
            </w:r>
          </w:p>
        </w:tc>
        <w:tc>
          <w:tcPr>
            <w:tcW w:w="0" w:type="auto"/>
            <w:hideMark/>
          </w:tcPr>
          <w:p w14:paraId="4936B23A" w14:textId="77777777" w:rsidR="00C1226D" w:rsidRPr="00C1226D" w:rsidRDefault="00C1226D" w:rsidP="00C122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Costo estimado</w:t>
            </w:r>
          </w:p>
        </w:tc>
      </w:tr>
      <w:tr w:rsidR="00C1226D" w:rsidRPr="00C1226D" w14:paraId="033F9AB3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055A8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Corrección de estilos y componentes visuales</w:t>
            </w:r>
          </w:p>
        </w:tc>
        <w:tc>
          <w:tcPr>
            <w:tcW w:w="0" w:type="auto"/>
            <w:hideMark/>
          </w:tcPr>
          <w:p w14:paraId="7DE2DCDA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$4,000 MXN</w:t>
            </w:r>
          </w:p>
        </w:tc>
      </w:tr>
      <w:tr w:rsidR="00C1226D" w:rsidRPr="00C1226D" w14:paraId="25292A69" w14:textId="77777777" w:rsidTr="00D7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E701D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Comunicación con usuarios</w:t>
            </w:r>
          </w:p>
        </w:tc>
        <w:tc>
          <w:tcPr>
            <w:tcW w:w="0" w:type="auto"/>
            <w:hideMark/>
          </w:tcPr>
          <w:p w14:paraId="3CBFCD06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$1,500 MXN</w:t>
            </w:r>
          </w:p>
        </w:tc>
      </w:tr>
      <w:tr w:rsidR="00C1226D" w:rsidRPr="00C1226D" w14:paraId="7C852928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CBFB5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Priorización de cambios visuales</w:t>
            </w:r>
          </w:p>
        </w:tc>
        <w:tc>
          <w:tcPr>
            <w:tcW w:w="0" w:type="auto"/>
            <w:hideMark/>
          </w:tcPr>
          <w:p w14:paraId="16635A20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$1,500 MXN</w:t>
            </w:r>
          </w:p>
        </w:tc>
      </w:tr>
      <w:tr w:rsidR="00C1226D" w:rsidRPr="00C1226D" w14:paraId="25F84B9E" w14:textId="77777777" w:rsidTr="00D7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8D1D4" w14:textId="77777777" w:rsidR="00C1226D" w:rsidRPr="00C1226D" w:rsidRDefault="00C1226D" w:rsidP="00C1226D">
            <w:pPr>
              <w:spacing w:after="160" w:line="278" w:lineRule="auto"/>
            </w:pPr>
            <w:r w:rsidRPr="00C1226D">
              <w:rPr>
                <w:rFonts w:ascii="Segoe UI Emoji" w:hAnsi="Segoe UI Emoji" w:cs="Segoe UI Emoji"/>
              </w:rPr>
              <w:t>🚨</w:t>
            </w:r>
            <w:r w:rsidRPr="00C1226D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6AE673E0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rPr>
                <w:b/>
                <w:bCs/>
              </w:rPr>
              <w:t>$7,000 MXN</w:t>
            </w:r>
          </w:p>
        </w:tc>
      </w:tr>
    </w:tbl>
    <w:p w14:paraId="4179ADF6" w14:textId="77777777" w:rsidR="00C1226D" w:rsidRPr="00C1226D" w:rsidRDefault="00C1226D" w:rsidP="00C1226D">
      <w:pPr>
        <w:rPr>
          <w:b/>
          <w:bCs/>
        </w:rPr>
      </w:pPr>
      <w:r w:rsidRPr="00C1226D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14"/>
        <w:gridCol w:w="1942"/>
      </w:tblGrid>
      <w:tr w:rsidR="00C1226D" w:rsidRPr="00C1226D" w14:paraId="541F412B" w14:textId="77777777" w:rsidTr="00D70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38DBB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Acción</w:t>
            </w:r>
          </w:p>
        </w:tc>
        <w:tc>
          <w:tcPr>
            <w:tcW w:w="0" w:type="auto"/>
            <w:hideMark/>
          </w:tcPr>
          <w:p w14:paraId="2D313732" w14:textId="77777777" w:rsidR="00C1226D" w:rsidRPr="00C1226D" w:rsidRDefault="00C1226D" w:rsidP="00C122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Costo estimado</w:t>
            </w:r>
          </w:p>
        </w:tc>
      </w:tr>
      <w:tr w:rsidR="00C1226D" w:rsidRPr="00C1226D" w14:paraId="5883125C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3FDD0" w14:textId="77777777" w:rsidR="00C1226D" w:rsidRPr="00C1226D" w:rsidRDefault="00C1226D" w:rsidP="00C1226D">
            <w:pPr>
              <w:spacing w:after="160" w:line="278" w:lineRule="auto"/>
            </w:pPr>
            <w:r w:rsidRPr="00C1226D">
              <w:lastRenderedPageBreak/>
              <w:t>Documentación y lecciones aprendidas</w:t>
            </w:r>
          </w:p>
        </w:tc>
        <w:tc>
          <w:tcPr>
            <w:tcW w:w="0" w:type="auto"/>
            <w:hideMark/>
          </w:tcPr>
          <w:p w14:paraId="6FFD03AE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$2,500 MXN</w:t>
            </w:r>
          </w:p>
        </w:tc>
      </w:tr>
      <w:tr w:rsidR="00C1226D" w:rsidRPr="00C1226D" w14:paraId="311A225D" w14:textId="77777777" w:rsidTr="00D7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43FD8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Actualización de estilos y componentes base</w:t>
            </w:r>
          </w:p>
        </w:tc>
        <w:tc>
          <w:tcPr>
            <w:tcW w:w="0" w:type="auto"/>
            <w:hideMark/>
          </w:tcPr>
          <w:p w14:paraId="1BF214F1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$2,500 MXN</w:t>
            </w:r>
          </w:p>
        </w:tc>
      </w:tr>
      <w:tr w:rsidR="00C1226D" w:rsidRPr="00C1226D" w14:paraId="1FF1E0D5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52832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Refuerzo de validaciones visuales</w:t>
            </w:r>
          </w:p>
        </w:tc>
        <w:tc>
          <w:tcPr>
            <w:tcW w:w="0" w:type="auto"/>
            <w:hideMark/>
          </w:tcPr>
          <w:p w14:paraId="2503DAE9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$2,000 MXN</w:t>
            </w:r>
          </w:p>
        </w:tc>
      </w:tr>
      <w:tr w:rsidR="00C1226D" w:rsidRPr="00C1226D" w14:paraId="3D85616C" w14:textId="77777777" w:rsidTr="00D7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B0A19" w14:textId="77777777" w:rsidR="00C1226D" w:rsidRPr="00C1226D" w:rsidRDefault="00C1226D" w:rsidP="00C1226D">
            <w:pPr>
              <w:spacing w:after="160" w:line="278" w:lineRule="auto"/>
            </w:pPr>
            <w:r w:rsidRPr="00C1226D">
              <w:rPr>
                <w:rFonts w:ascii="Segoe UI Emoji" w:hAnsi="Segoe UI Emoji" w:cs="Segoe UI Emoji"/>
              </w:rPr>
              <w:t>🔄</w:t>
            </w:r>
            <w:r w:rsidRPr="00C1226D">
              <w:t xml:space="preserve"> Total medidas correctivas:</w:t>
            </w:r>
          </w:p>
        </w:tc>
        <w:tc>
          <w:tcPr>
            <w:tcW w:w="0" w:type="auto"/>
            <w:hideMark/>
          </w:tcPr>
          <w:p w14:paraId="62CF15D4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rPr>
                <w:b/>
                <w:bCs/>
              </w:rPr>
              <w:t>$7,000 MXN</w:t>
            </w:r>
          </w:p>
        </w:tc>
      </w:tr>
    </w:tbl>
    <w:p w14:paraId="40F74C4B" w14:textId="250ABC5C" w:rsidR="00C1226D" w:rsidRPr="00C1226D" w:rsidRDefault="00C1226D" w:rsidP="00C1226D"/>
    <w:p w14:paraId="6A36ADD6" w14:textId="77777777" w:rsidR="00C1226D" w:rsidRPr="00C1226D" w:rsidRDefault="00C1226D" w:rsidP="00C1226D">
      <w:pPr>
        <w:rPr>
          <w:b/>
          <w:bCs/>
        </w:rPr>
      </w:pPr>
      <w:r w:rsidRPr="00C1226D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C1226D" w:rsidRPr="00C1226D" w14:paraId="616BFCD6" w14:textId="77777777" w:rsidTr="00D70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7EDB7" w14:textId="77777777" w:rsidR="00C1226D" w:rsidRPr="00C1226D" w:rsidRDefault="00C1226D" w:rsidP="00C1226D">
            <w:pPr>
              <w:spacing w:after="160" w:line="278" w:lineRule="auto"/>
            </w:pPr>
            <w:r w:rsidRPr="00C1226D">
              <w:t>Categoría</w:t>
            </w:r>
          </w:p>
        </w:tc>
        <w:tc>
          <w:tcPr>
            <w:tcW w:w="0" w:type="auto"/>
            <w:hideMark/>
          </w:tcPr>
          <w:p w14:paraId="012772CE" w14:textId="77777777" w:rsidR="00C1226D" w:rsidRPr="00C1226D" w:rsidRDefault="00C1226D" w:rsidP="00C1226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Costo estimado</w:t>
            </w:r>
          </w:p>
        </w:tc>
      </w:tr>
      <w:tr w:rsidR="00C1226D" w:rsidRPr="00C1226D" w14:paraId="6925A6CB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F79D6" w14:textId="77777777" w:rsidR="00C1226D" w:rsidRPr="00C1226D" w:rsidRDefault="00C1226D" w:rsidP="00C1226D">
            <w:pPr>
              <w:spacing w:after="160" w:line="278" w:lineRule="auto"/>
            </w:pPr>
            <w:r w:rsidRPr="00C1226D">
              <w:rPr>
                <w:rFonts w:ascii="Segoe UI Emoji" w:hAnsi="Segoe UI Emoji" w:cs="Segoe UI Emoji"/>
              </w:rPr>
              <w:t>🛡️</w:t>
            </w:r>
            <w:r w:rsidRPr="00C1226D">
              <w:t xml:space="preserve"> Prevención</w:t>
            </w:r>
          </w:p>
        </w:tc>
        <w:tc>
          <w:tcPr>
            <w:tcW w:w="0" w:type="auto"/>
            <w:hideMark/>
          </w:tcPr>
          <w:p w14:paraId="6081A862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$13,000 MXN</w:t>
            </w:r>
          </w:p>
        </w:tc>
      </w:tr>
      <w:tr w:rsidR="00C1226D" w:rsidRPr="00C1226D" w14:paraId="15A1A499" w14:textId="77777777" w:rsidTr="00D7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CA8DD" w14:textId="77777777" w:rsidR="00C1226D" w:rsidRPr="00C1226D" w:rsidRDefault="00C1226D" w:rsidP="00C1226D">
            <w:pPr>
              <w:spacing w:after="160" w:line="278" w:lineRule="auto"/>
            </w:pPr>
            <w:r w:rsidRPr="00C1226D">
              <w:rPr>
                <w:rFonts w:ascii="Segoe UI Emoji" w:hAnsi="Segoe UI Emoji" w:cs="Segoe UI Emoji"/>
              </w:rPr>
              <w:t>🚨</w:t>
            </w:r>
            <w:r w:rsidRPr="00C1226D">
              <w:t xml:space="preserve"> Mitigación</w:t>
            </w:r>
          </w:p>
        </w:tc>
        <w:tc>
          <w:tcPr>
            <w:tcW w:w="0" w:type="auto"/>
            <w:hideMark/>
          </w:tcPr>
          <w:p w14:paraId="1D670E70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$7,000 MXN</w:t>
            </w:r>
          </w:p>
        </w:tc>
      </w:tr>
      <w:tr w:rsidR="00C1226D" w:rsidRPr="00C1226D" w14:paraId="1878F861" w14:textId="77777777" w:rsidTr="00D70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4471D" w14:textId="77777777" w:rsidR="00C1226D" w:rsidRPr="00C1226D" w:rsidRDefault="00C1226D" w:rsidP="00C1226D">
            <w:pPr>
              <w:spacing w:after="160" w:line="278" w:lineRule="auto"/>
            </w:pPr>
            <w:r w:rsidRPr="00C1226D">
              <w:rPr>
                <w:rFonts w:ascii="Segoe UI Emoji" w:hAnsi="Segoe UI Emoji" w:cs="Segoe UI Emoji"/>
              </w:rPr>
              <w:t>🔄</w:t>
            </w:r>
            <w:r w:rsidRPr="00C1226D">
              <w:t xml:space="preserve"> Recuperación</w:t>
            </w:r>
          </w:p>
        </w:tc>
        <w:tc>
          <w:tcPr>
            <w:tcW w:w="0" w:type="auto"/>
            <w:hideMark/>
          </w:tcPr>
          <w:p w14:paraId="719912F3" w14:textId="77777777" w:rsidR="00C1226D" w:rsidRPr="00C1226D" w:rsidRDefault="00C1226D" w:rsidP="00C1226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26D">
              <w:t>$7,000 MXN</w:t>
            </w:r>
          </w:p>
        </w:tc>
      </w:tr>
      <w:tr w:rsidR="00C1226D" w:rsidRPr="00C1226D" w14:paraId="2EB1CE97" w14:textId="77777777" w:rsidTr="00D7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D5DB4" w14:textId="77777777" w:rsidR="00C1226D" w:rsidRPr="00C1226D" w:rsidRDefault="00C1226D" w:rsidP="00C1226D">
            <w:pPr>
              <w:spacing w:after="160" w:line="278" w:lineRule="auto"/>
            </w:pPr>
            <w:r w:rsidRPr="00C1226D">
              <w:rPr>
                <w:rFonts w:ascii="Segoe UI Emoji" w:hAnsi="Segoe UI Emoji" w:cs="Segoe UI Emoji"/>
              </w:rPr>
              <w:t>💥</w:t>
            </w:r>
            <w:r w:rsidRPr="00C1226D">
              <w:t xml:space="preserve"> Costo de no hacer nada</w:t>
            </w:r>
          </w:p>
        </w:tc>
        <w:tc>
          <w:tcPr>
            <w:tcW w:w="0" w:type="auto"/>
            <w:hideMark/>
          </w:tcPr>
          <w:p w14:paraId="0E60B2A3" w14:textId="77777777" w:rsidR="00C1226D" w:rsidRPr="00C1226D" w:rsidRDefault="00C1226D" w:rsidP="00C1226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26D">
              <w:t>$120,000 MXN</w:t>
            </w:r>
          </w:p>
        </w:tc>
      </w:tr>
    </w:tbl>
    <w:p w14:paraId="764F333F" w14:textId="7C8C14E6" w:rsidR="00C1226D" w:rsidRPr="00C1226D" w:rsidRDefault="00C1226D" w:rsidP="00C1226D"/>
    <w:p w14:paraId="576DE129" w14:textId="77777777" w:rsidR="00C1226D" w:rsidRPr="00C1226D" w:rsidRDefault="00C1226D" w:rsidP="00C1226D">
      <w:pPr>
        <w:rPr>
          <w:b/>
          <w:bCs/>
        </w:rPr>
      </w:pPr>
      <w:r w:rsidRPr="00C1226D">
        <w:rPr>
          <w:rFonts w:ascii="Segoe UI Emoji" w:hAnsi="Segoe UI Emoji" w:cs="Segoe UI Emoji"/>
          <w:b/>
          <w:bCs/>
        </w:rPr>
        <w:t>📈</w:t>
      </w:r>
      <w:r w:rsidRPr="00C1226D">
        <w:rPr>
          <w:b/>
          <w:bCs/>
        </w:rPr>
        <w:t xml:space="preserve"> Análisis Costo-Beneficio</w:t>
      </w:r>
    </w:p>
    <w:p w14:paraId="2D63C3AD" w14:textId="77777777" w:rsidR="00C1226D" w:rsidRPr="00C1226D" w:rsidRDefault="00C1226D" w:rsidP="00C1226D">
      <w:r w:rsidRPr="00C1226D">
        <w:rPr>
          <w:b/>
          <w:bCs/>
        </w:rPr>
        <w:t>Costo total de implementar todas las estrategias:</w:t>
      </w:r>
      <w:r w:rsidRPr="00C1226D">
        <w:br/>
        <w:t xml:space="preserve">$13,000 + $7,000 + $7,000 = </w:t>
      </w:r>
      <w:r w:rsidRPr="00C1226D">
        <w:rPr>
          <w:b/>
          <w:bCs/>
        </w:rPr>
        <w:t>$27,000 MXN</w:t>
      </w:r>
    </w:p>
    <w:p w14:paraId="67569F42" w14:textId="77777777" w:rsidR="00C1226D" w:rsidRPr="00C1226D" w:rsidRDefault="00C1226D" w:rsidP="00C1226D">
      <w:r w:rsidRPr="00C1226D">
        <w:rPr>
          <w:b/>
          <w:bCs/>
        </w:rPr>
        <w:t>Ahorro potencial si se previene o controla el riesgo:</w:t>
      </w:r>
      <w:r w:rsidRPr="00C1226D">
        <w:br/>
        <w:t xml:space="preserve">$120,000 – $27,000 = </w:t>
      </w:r>
      <w:r w:rsidRPr="00C1226D">
        <w:rPr>
          <w:b/>
          <w:bCs/>
        </w:rPr>
        <w:t>$93,000 MXN</w:t>
      </w:r>
    </w:p>
    <w:p w14:paraId="012897E6" w14:textId="77777777" w:rsidR="00C1226D" w:rsidRPr="00C1226D" w:rsidRDefault="00C1226D" w:rsidP="00C1226D">
      <w:r w:rsidRPr="00C1226D">
        <w:rPr>
          <w:b/>
          <w:bCs/>
        </w:rPr>
        <w:t>(≈ 344% de retorno sobre inversión en legibilidad y diseño visual accesible)</w:t>
      </w:r>
    </w:p>
    <w:p w14:paraId="67B394F0" w14:textId="77777777" w:rsidR="00F76E76" w:rsidRDefault="00F76E76"/>
    <w:sectPr w:rsidR="00F76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931D7"/>
    <w:multiLevelType w:val="multilevel"/>
    <w:tmpl w:val="85B4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44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76"/>
    <w:rsid w:val="00191CD6"/>
    <w:rsid w:val="00C1226D"/>
    <w:rsid w:val="00D00F29"/>
    <w:rsid w:val="00D70CE9"/>
    <w:rsid w:val="00F7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C658-613C-465A-B3E5-CE34236C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E76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191C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665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2025-06-30T02:46:00Z</dcterms:created>
  <dcterms:modified xsi:type="dcterms:W3CDTF">2025-06-30T02:47:00Z</dcterms:modified>
</cp:coreProperties>
</file>