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8CE0E" w14:textId="7CC2E637" w:rsidR="00DF19BC" w:rsidRDefault="00DF19BC" w:rsidP="00E32F65">
      <w:pPr>
        <w:jc w:val="both"/>
      </w:pPr>
      <w:r>
        <w:t>Prueba de hipótesis.</w:t>
      </w:r>
    </w:p>
    <w:p w14:paraId="6CBE698D" w14:textId="2E74EB36" w:rsidR="00DF19BC" w:rsidRDefault="00DF19BC" w:rsidP="00E32F65">
      <w:pPr>
        <w:jc w:val="both"/>
      </w:pPr>
      <w:r>
        <w:t>Para comprender el grado de homogeneidad o dispersión en las percepciones de los usuarios respecto a las prácticas recomendadas de seguridad en contraseñas, es relevante calcular medidas de variabilidad como la varianza. En particular, el estudio</w:t>
      </w:r>
      <w:r w:rsidR="00617681">
        <w:t xml:space="preserve"> </w:t>
      </w:r>
      <w:r w:rsidR="00617681">
        <w:t>(archivo adjunto en el repositorio de GitHub)</w:t>
      </w:r>
      <w:r>
        <w:t xml:space="preserve"> de Habib et al. (2018) presenta datos categorizados mediante una escala de Likert, en la cual se evaluó la importancia asignada por los participantes a diversas acciones relacionadas con la gestión de contraseñas, tales como cambiarla periódicamente, usar contraseñas complejas o almacenarlas de forma segura.</w:t>
      </w:r>
    </w:p>
    <w:p w14:paraId="50B134E6" w14:textId="3026B2DB" w:rsidR="00DF19BC" w:rsidRDefault="00DF19BC" w:rsidP="00E32F65">
      <w:pPr>
        <w:jc w:val="both"/>
      </w:pPr>
      <w:r>
        <w:t>Este tipo de datos permite realizar un análisis cuantitativo complementario, al asignar valores numéricos a las categorías y calcular promedios y dispersiones. La varianza, en este contexto, permite identificar qué tan consistentes o divergentes son las opiniones de los usuarios respecto a una práctica específica, como el cambio periódico de contraseña. Dicha información es clave para interpretar el nivel de concienciación, la aceptación de políticas de seguridad y para establecer referencias válidas para contrastes estadísticos.</w:t>
      </w:r>
    </w:p>
    <w:p w14:paraId="0ADCC3F2" w14:textId="39474401" w:rsidR="00DF19BC" w:rsidRDefault="00DF19BC" w:rsidP="00E32F65">
      <w:pPr>
        <w:jc w:val="both"/>
      </w:pPr>
      <w:r>
        <w:t>A partir de la distribución observada en las respuestas, es posible estimar una varianza poblacional que sirva como base para pruebas de hipótesis y análisis comparativos con otras muestras o poblaciones.</w:t>
      </w:r>
    </w:p>
    <w:p w14:paraId="6D96961B" w14:textId="263BA9E2" w:rsidR="00DF19BC" w:rsidRDefault="00DF19BC" w:rsidP="00E32F65">
      <w:pPr>
        <w:jc w:val="both"/>
      </w:pPr>
      <w:r>
        <w:rPr>
          <w:noProof/>
        </w:rPr>
        <w:drawing>
          <wp:inline distT="0" distB="0" distL="0" distR="0" wp14:anchorId="59F11419" wp14:editId="2184D7A8">
            <wp:extent cx="3886742" cy="1810003"/>
            <wp:effectExtent l="0" t="0" r="0" b="0"/>
            <wp:docPr id="1651747042" name="Imagen 2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47042" name="Imagen 2" descr="Gráfico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48F4" w14:textId="54957431" w:rsidR="002820EB" w:rsidRDefault="002820EB" w:rsidP="00E32F65">
      <w:pPr>
        <w:jc w:val="both"/>
      </w:pPr>
      <w:r>
        <w:t xml:space="preserve">A partir del conteo visual de la gráfica, se estimaron aproximadamente los siguientes valores para la afirmación “Change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password</w:t>
      </w:r>
      <w:proofErr w:type="spellEnd"/>
      <w:proofErr w:type="gramEnd"/>
      <w:r>
        <w:t xml:space="preserve"> </w:t>
      </w:r>
      <w:proofErr w:type="spellStart"/>
      <w:r>
        <w:t>periodically</w:t>
      </w:r>
      <w:proofErr w:type="spellEnd"/>
      <w:r>
        <w:t>”.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820EB" w14:paraId="529673F2" w14:textId="77777777" w:rsidTr="002C6AB2">
        <w:tc>
          <w:tcPr>
            <w:tcW w:w="2207" w:type="dxa"/>
            <w:vAlign w:val="center"/>
          </w:tcPr>
          <w:p w14:paraId="55853FFA" w14:textId="707F840E" w:rsidR="002820EB" w:rsidRDefault="002820EB" w:rsidP="00E32F65">
            <w:pPr>
              <w:jc w:val="both"/>
            </w:pPr>
            <w:r>
              <w:rPr>
                <w:b/>
                <w:bCs/>
              </w:rPr>
              <w:t>Valor Likert (x</w:t>
            </w:r>
            <w:r>
              <w:rPr>
                <w:rFonts w:ascii="Arial" w:hAnsi="Arial" w:cs="Arial"/>
                <w:b/>
                <w:bCs/>
              </w:rPr>
              <w:t>ᵢ</w:t>
            </w:r>
            <w:r>
              <w:rPr>
                <w:b/>
                <w:bCs/>
              </w:rPr>
              <w:t>)</w:t>
            </w:r>
          </w:p>
        </w:tc>
        <w:tc>
          <w:tcPr>
            <w:tcW w:w="2207" w:type="dxa"/>
            <w:vAlign w:val="center"/>
          </w:tcPr>
          <w:p w14:paraId="73F444BD" w14:textId="66FA0A84" w:rsidR="002820EB" w:rsidRDefault="002820EB" w:rsidP="00E32F65">
            <w:pPr>
              <w:jc w:val="both"/>
            </w:pPr>
            <w:r>
              <w:rPr>
                <w:b/>
                <w:bCs/>
              </w:rPr>
              <w:t>Frecuencia (f</w:t>
            </w:r>
            <w:r>
              <w:rPr>
                <w:rFonts w:ascii="Arial" w:hAnsi="Arial" w:cs="Arial"/>
                <w:b/>
                <w:bCs/>
              </w:rPr>
              <w:t>ᵢ</w:t>
            </w:r>
            <w:r>
              <w:rPr>
                <w:b/>
                <w:bCs/>
              </w:rPr>
              <w:t>)</w:t>
            </w:r>
          </w:p>
        </w:tc>
        <w:tc>
          <w:tcPr>
            <w:tcW w:w="2207" w:type="dxa"/>
            <w:vAlign w:val="center"/>
          </w:tcPr>
          <w:p w14:paraId="7CFE0E94" w14:textId="653CF2D4" w:rsidR="002820EB" w:rsidRDefault="002820EB" w:rsidP="00E32F65">
            <w:pPr>
              <w:jc w:val="both"/>
            </w:pPr>
            <w:r>
              <w:rPr>
                <w:b/>
                <w:bCs/>
              </w:rPr>
              <w:t>f</w:t>
            </w:r>
            <w:r>
              <w:rPr>
                <w:rFonts w:ascii="Arial" w:hAnsi="Arial" w:cs="Arial"/>
                <w:b/>
                <w:bCs/>
              </w:rPr>
              <w:t>ᵢ</w:t>
            </w:r>
            <w:r>
              <w:rPr>
                <w:b/>
                <w:bCs/>
              </w:rPr>
              <w:t xml:space="preserve"> * x</w:t>
            </w:r>
            <w:r>
              <w:rPr>
                <w:rFonts w:ascii="Arial" w:hAnsi="Arial" w:cs="Arial"/>
                <w:b/>
                <w:bCs/>
              </w:rPr>
              <w:t>ᵢ</w:t>
            </w:r>
          </w:p>
        </w:tc>
        <w:tc>
          <w:tcPr>
            <w:tcW w:w="2207" w:type="dxa"/>
            <w:vAlign w:val="center"/>
          </w:tcPr>
          <w:p w14:paraId="398230C9" w14:textId="7D998307" w:rsidR="002820EB" w:rsidRDefault="002820EB" w:rsidP="00E32F65">
            <w:pPr>
              <w:jc w:val="both"/>
            </w:pPr>
            <w:r>
              <w:rPr>
                <w:b/>
                <w:bCs/>
              </w:rPr>
              <w:t>f</w:t>
            </w:r>
            <w:r>
              <w:rPr>
                <w:rFonts w:ascii="Arial" w:hAnsi="Arial" w:cs="Arial"/>
                <w:b/>
                <w:bCs/>
              </w:rPr>
              <w:t>ᵢ</w:t>
            </w:r>
            <w:r>
              <w:rPr>
                <w:b/>
                <w:bCs/>
              </w:rPr>
              <w:t xml:space="preserve"> * (x</w:t>
            </w:r>
            <w:r>
              <w:rPr>
                <w:rFonts w:ascii="Arial" w:hAnsi="Arial" w:cs="Arial"/>
                <w:b/>
                <w:bCs/>
              </w:rPr>
              <w:t>ᵢ</w:t>
            </w:r>
            <w:r>
              <w:rPr>
                <w:b/>
                <w:bCs/>
              </w:rPr>
              <w:t xml:space="preserve"> − </w:t>
            </w:r>
            <w:proofErr w:type="gramStart"/>
            <w:r>
              <w:rPr>
                <w:b/>
                <w:bCs/>
              </w:rPr>
              <w:t>x̄)²</w:t>
            </w:r>
            <w:proofErr w:type="gramEnd"/>
          </w:p>
        </w:tc>
      </w:tr>
      <w:tr w:rsidR="002820EB" w14:paraId="3289C7B9" w14:textId="77777777" w:rsidTr="002C6AB2">
        <w:tc>
          <w:tcPr>
            <w:tcW w:w="2207" w:type="dxa"/>
            <w:vAlign w:val="center"/>
          </w:tcPr>
          <w:p w14:paraId="70EAFE73" w14:textId="01F48A54" w:rsidR="002820EB" w:rsidRDefault="002820EB" w:rsidP="00E32F65">
            <w:pPr>
              <w:jc w:val="both"/>
            </w:pPr>
            <w:r>
              <w:t>1</w:t>
            </w:r>
          </w:p>
        </w:tc>
        <w:tc>
          <w:tcPr>
            <w:tcW w:w="2207" w:type="dxa"/>
            <w:vAlign w:val="center"/>
          </w:tcPr>
          <w:p w14:paraId="0230856E" w14:textId="1D6B6DDE" w:rsidR="002820EB" w:rsidRDefault="002820EB" w:rsidP="00E32F65">
            <w:pPr>
              <w:jc w:val="both"/>
            </w:pPr>
            <w:r>
              <w:t>20</w:t>
            </w:r>
          </w:p>
        </w:tc>
        <w:tc>
          <w:tcPr>
            <w:tcW w:w="2207" w:type="dxa"/>
            <w:vAlign w:val="center"/>
          </w:tcPr>
          <w:p w14:paraId="1A7B85FC" w14:textId="3D629DB7" w:rsidR="002820EB" w:rsidRDefault="002820EB" w:rsidP="00E32F65">
            <w:pPr>
              <w:jc w:val="both"/>
            </w:pPr>
            <w:r>
              <w:t>20</w:t>
            </w:r>
          </w:p>
        </w:tc>
        <w:tc>
          <w:tcPr>
            <w:tcW w:w="2207" w:type="dxa"/>
            <w:vAlign w:val="center"/>
          </w:tcPr>
          <w:p w14:paraId="0FCFD0CB" w14:textId="3028D86A" w:rsidR="002820EB" w:rsidRDefault="002820EB" w:rsidP="00E32F65">
            <w:pPr>
              <w:jc w:val="both"/>
            </w:pPr>
            <w:r>
              <w:t>143.93</w:t>
            </w:r>
          </w:p>
        </w:tc>
      </w:tr>
      <w:tr w:rsidR="002820EB" w14:paraId="4FDE7F2E" w14:textId="77777777" w:rsidTr="002C6AB2">
        <w:tc>
          <w:tcPr>
            <w:tcW w:w="2207" w:type="dxa"/>
            <w:vAlign w:val="center"/>
          </w:tcPr>
          <w:p w14:paraId="6ABFE516" w14:textId="15E514EE" w:rsidR="002820EB" w:rsidRDefault="002820EB" w:rsidP="00E32F65">
            <w:pPr>
              <w:jc w:val="both"/>
            </w:pPr>
            <w:r>
              <w:t>2</w:t>
            </w:r>
          </w:p>
        </w:tc>
        <w:tc>
          <w:tcPr>
            <w:tcW w:w="2207" w:type="dxa"/>
            <w:vAlign w:val="center"/>
          </w:tcPr>
          <w:p w14:paraId="5EC477DF" w14:textId="1060AFBA" w:rsidR="002820EB" w:rsidRDefault="002820EB" w:rsidP="00E32F65">
            <w:pPr>
              <w:jc w:val="both"/>
            </w:pPr>
            <w:r>
              <w:t>35</w:t>
            </w:r>
          </w:p>
        </w:tc>
        <w:tc>
          <w:tcPr>
            <w:tcW w:w="2207" w:type="dxa"/>
            <w:vAlign w:val="center"/>
          </w:tcPr>
          <w:p w14:paraId="3237A205" w14:textId="68422E10" w:rsidR="002820EB" w:rsidRDefault="002820EB" w:rsidP="00E32F65">
            <w:pPr>
              <w:jc w:val="both"/>
            </w:pPr>
            <w:r>
              <w:t>70</w:t>
            </w:r>
          </w:p>
        </w:tc>
        <w:tc>
          <w:tcPr>
            <w:tcW w:w="2207" w:type="dxa"/>
            <w:vAlign w:val="center"/>
          </w:tcPr>
          <w:p w14:paraId="1B4F64E6" w14:textId="1CC99F5F" w:rsidR="002820EB" w:rsidRDefault="002820EB" w:rsidP="00E32F65">
            <w:pPr>
              <w:jc w:val="both"/>
            </w:pPr>
            <w:r>
              <w:t>99.12</w:t>
            </w:r>
          </w:p>
        </w:tc>
      </w:tr>
      <w:tr w:rsidR="002820EB" w14:paraId="23DDF53A" w14:textId="77777777" w:rsidTr="002C6AB2">
        <w:tc>
          <w:tcPr>
            <w:tcW w:w="2207" w:type="dxa"/>
            <w:vAlign w:val="center"/>
          </w:tcPr>
          <w:p w14:paraId="25C1E752" w14:textId="3E3D8A99" w:rsidR="002820EB" w:rsidRDefault="002820EB" w:rsidP="00E32F65">
            <w:pPr>
              <w:jc w:val="both"/>
            </w:pPr>
            <w:r>
              <w:t>3</w:t>
            </w:r>
          </w:p>
        </w:tc>
        <w:tc>
          <w:tcPr>
            <w:tcW w:w="2207" w:type="dxa"/>
            <w:vAlign w:val="center"/>
          </w:tcPr>
          <w:p w14:paraId="1AD405F0" w14:textId="59FADF87" w:rsidR="002820EB" w:rsidRDefault="002820EB" w:rsidP="00E32F65">
            <w:pPr>
              <w:jc w:val="both"/>
            </w:pPr>
            <w:r>
              <w:t>60</w:t>
            </w:r>
          </w:p>
        </w:tc>
        <w:tc>
          <w:tcPr>
            <w:tcW w:w="2207" w:type="dxa"/>
            <w:vAlign w:val="center"/>
          </w:tcPr>
          <w:p w14:paraId="52F49729" w14:textId="085E36FB" w:rsidR="002820EB" w:rsidRDefault="002820EB" w:rsidP="00E32F65">
            <w:pPr>
              <w:jc w:val="both"/>
            </w:pPr>
            <w:r>
              <w:t>180</w:t>
            </w:r>
          </w:p>
        </w:tc>
        <w:tc>
          <w:tcPr>
            <w:tcW w:w="2207" w:type="dxa"/>
            <w:vAlign w:val="center"/>
          </w:tcPr>
          <w:p w14:paraId="0C57EAF8" w14:textId="134AAB55" w:rsidR="002820EB" w:rsidRDefault="002820EB" w:rsidP="00E32F65">
            <w:pPr>
              <w:jc w:val="both"/>
            </w:pPr>
            <w:r>
              <w:t>28.04</w:t>
            </w:r>
          </w:p>
        </w:tc>
      </w:tr>
      <w:tr w:rsidR="002820EB" w14:paraId="44A38F00" w14:textId="77777777" w:rsidTr="002C6AB2">
        <w:tc>
          <w:tcPr>
            <w:tcW w:w="2207" w:type="dxa"/>
            <w:vAlign w:val="center"/>
          </w:tcPr>
          <w:p w14:paraId="15157057" w14:textId="5F1ACFF1" w:rsidR="002820EB" w:rsidRDefault="002820EB" w:rsidP="00E32F65">
            <w:pPr>
              <w:jc w:val="both"/>
            </w:pPr>
            <w:r>
              <w:t>4</w:t>
            </w:r>
          </w:p>
        </w:tc>
        <w:tc>
          <w:tcPr>
            <w:tcW w:w="2207" w:type="dxa"/>
            <w:vAlign w:val="center"/>
          </w:tcPr>
          <w:p w14:paraId="72836AE8" w14:textId="22A8472A" w:rsidR="002820EB" w:rsidRDefault="002820EB" w:rsidP="00E32F65">
            <w:pPr>
              <w:jc w:val="both"/>
            </w:pPr>
            <w:r>
              <w:t>90</w:t>
            </w:r>
          </w:p>
        </w:tc>
        <w:tc>
          <w:tcPr>
            <w:tcW w:w="2207" w:type="dxa"/>
            <w:vAlign w:val="center"/>
          </w:tcPr>
          <w:p w14:paraId="36A9340D" w14:textId="2CBEDE57" w:rsidR="002820EB" w:rsidRDefault="002820EB" w:rsidP="00E32F65">
            <w:pPr>
              <w:jc w:val="both"/>
            </w:pPr>
            <w:r>
              <w:t>360</w:t>
            </w:r>
          </w:p>
        </w:tc>
        <w:tc>
          <w:tcPr>
            <w:tcW w:w="2207" w:type="dxa"/>
            <w:vAlign w:val="center"/>
          </w:tcPr>
          <w:p w14:paraId="143EB49C" w14:textId="35BDDC8F" w:rsidR="002820EB" w:rsidRDefault="002820EB" w:rsidP="00E32F65">
            <w:pPr>
              <w:jc w:val="both"/>
            </w:pPr>
            <w:r>
              <w:t>9</w:t>
            </w:r>
          </w:p>
        </w:tc>
      </w:tr>
      <w:tr w:rsidR="002820EB" w14:paraId="0697CEA7" w14:textId="77777777" w:rsidTr="002C6AB2">
        <w:tc>
          <w:tcPr>
            <w:tcW w:w="2207" w:type="dxa"/>
            <w:vAlign w:val="center"/>
          </w:tcPr>
          <w:p w14:paraId="51B1D408" w14:textId="77787D6A" w:rsidR="002820EB" w:rsidRDefault="002820EB" w:rsidP="00E32F65">
            <w:pPr>
              <w:jc w:val="both"/>
            </w:pPr>
            <w:r>
              <w:t>5</w:t>
            </w:r>
          </w:p>
        </w:tc>
        <w:tc>
          <w:tcPr>
            <w:tcW w:w="2207" w:type="dxa"/>
            <w:vAlign w:val="center"/>
          </w:tcPr>
          <w:p w14:paraId="2E20195D" w14:textId="64703408" w:rsidR="002820EB" w:rsidRDefault="002820EB" w:rsidP="00E32F65">
            <w:pPr>
              <w:jc w:val="both"/>
            </w:pPr>
            <w:r>
              <w:t>95</w:t>
            </w:r>
          </w:p>
        </w:tc>
        <w:tc>
          <w:tcPr>
            <w:tcW w:w="2207" w:type="dxa"/>
            <w:vAlign w:val="center"/>
          </w:tcPr>
          <w:p w14:paraId="2079D230" w14:textId="3F88FFBB" w:rsidR="002820EB" w:rsidRDefault="002820EB" w:rsidP="00E32F65">
            <w:pPr>
              <w:jc w:val="both"/>
            </w:pPr>
            <w:r>
              <w:t>475</w:t>
            </w:r>
          </w:p>
        </w:tc>
        <w:tc>
          <w:tcPr>
            <w:tcW w:w="2207" w:type="dxa"/>
            <w:vAlign w:val="center"/>
          </w:tcPr>
          <w:p w14:paraId="7C814743" w14:textId="02D59A3F" w:rsidR="002820EB" w:rsidRDefault="002820EB" w:rsidP="00E32F65">
            <w:pPr>
              <w:jc w:val="both"/>
            </w:pPr>
            <w:r>
              <w:t>164.73</w:t>
            </w:r>
          </w:p>
        </w:tc>
      </w:tr>
      <w:tr w:rsidR="002820EB" w14:paraId="6A1986AA" w14:textId="77777777" w:rsidTr="002C6AB2">
        <w:tc>
          <w:tcPr>
            <w:tcW w:w="2207" w:type="dxa"/>
            <w:vAlign w:val="center"/>
          </w:tcPr>
          <w:p w14:paraId="08DF9325" w14:textId="529A4FF8" w:rsidR="002820EB" w:rsidRDefault="002820EB" w:rsidP="00E32F65">
            <w:pPr>
              <w:jc w:val="both"/>
            </w:pPr>
            <w:r>
              <w:rPr>
                <w:rStyle w:val="Textoennegrita"/>
              </w:rPr>
              <w:t>Total</w:t>
            </w:r>
          </w:p>
        </w:tc>
        <w:tc>
          <w:tcPr>
            <w:tcW w:w="2207" w:type="dxa"/>
            <w:vAlign w:val="center"/>
          </w:tcPr>
          <w:p w14:paraId="041CA7F2" w14:textId="04FACFE3" w:rsidR="002820EB" w:rsidRDefault="002820EB" w:rsidP="00E32F65">
            <w:pPr>
              <w:jc w:val="both"/>
            </w:pPr>
            <w:r>
              <w:rPr>
                <w:rStyle w:val="Textoennegrita"/>
              </w:rPr>
              <w:t>300</w:t>
            </w:r>
          </w:p>
        </w:tc>
        <w:tc>
          <w:tcPr>
            <w:tcW w:w="2207" w:type="dxa"/>
            <w:vAlign w:val="center"/>
          </w:tcPr>
          <w:p w14:paraId="5A63968D" w14:textId="2505F56F" w:rsidR="002820EB" w:rsidRDefault="002820EB" w:rsidP="00E32F65">
            <w:pPr>
              <w:jc w:val="both"/>
            </w:pPr>
            <w:r>
              <w:rPr>
                <w:rStyle w:val="Textoennegrita"/>
              </w:rPr>
              <w:t>1105</w:t>
            </w:r>
          </w:p>
        </w:tc>
        <w:tc>
          <w:tcPr>
            <w:tcW w:w="2207" w:type="dxa"/>
            <w:vAlign w:val="center"/>
          </w:tcPr>
          <w:p w14:paraId="39937C6F" w14:textId="07C78A0A" w:rsidR="002820EB" w:rsidRDefault="002820EB" w:rsidP="00E32F65">
            <w:pPr>
              <w:jc w:val="both"/>
            </w:pPr>
            <w:r>
              <w:t>444.82</w:t>
            </w:r>
          </w:p>
        </w:tc>
      </w:tr>
    </w:tbl>
    <w:p w14:paraId="6E913B1B" w14:textId="77777777" w:rsidR="002820EB" w:rsidRDefault="002820EB" w:rsidP="00E32F65">
      <w:pPr>
        <w:jc w:val="both"/>
      </w:pPr>
    </w:p>
    <w:p w14:paraId="6CC64B70" w14:textId="77777777" w:rsidR="002820EB" w:rsidRDefault="002820EB" w:rsidP="00E32F65">
      <w:pPr>
        <w:jc w:val="both"/>
      </w:pPr>
    </w:p>
    <w:p w14:paraId="1FAFCAF5" w14:textId="77777777" w:rsidR="002820EB" w:rsidRDefault="002820EB" w:rsidP="00E32F65">
      <w:pPr>
        <w:jc w:val="both"/>
      </w:pPr>
    </w:p>
    <w:p w14:paraId="34DBCF7B" w14:textId="77777777" w:rsidR="002820EB" w:rsidRDefault="002820EB" w:rsidP="00E32F65">
      <w:pPr>
        <w:jc w:val="both"/>
      </w:pPr>
    </w:p>
    <w:p w14:paraId="51F0085D" w14:textId="63322057" w:rsidR="002820EB" w:rsidRDefault="002820EB" w:rsidP="00E32F65">
      <w:pPr>
        <w:jc w:val="both"/>
      </w:pPr>
      <w:r>
        <w:lastRenderedPageBreak/>
        <w:t>Entonces,</w:t>
      </w:r>
    </w:p>
    <w:p w14:paraId="0C2A1618" w14:textId="79BDEFA5" w:rsidR="002820EB" w:rsidRDefault="002820EB" w:rsidP="00E32F65">
      <w:pPr>
        <w:jc w:val="both"/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1105</m:t>
              </m:r>
            </m:num>
            <m:den>
              <m:r>
                <w:rPr>
                  <w:rFonts w:ascii="Cambria Math" w:hAnsi="Cambria Math"/>
                </w:rPr>
                <m:t>300</m:t>
              </m:r>
            </m:den>
          </m:f>
          <m:r>
            <w:rPr>
              <w:rFonts w:ascii="Cambria Math" w:hAnsi="Cambria Math"/>
            </w:rPr>
            <m:t>=3.6833</m:t>
          </m:r>
        </m:oMath>
      </m:oMathPara>
    </w:p>
    <w:p w14:paraId="0F3DFD92" w14:textId="5A822028" w:rsidR="002820EB" w:rsidRPr="002820EB" w:rsidRDefault="002820EB" w:rsidP="00E32F65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2D3B7E3" w14:textId="76E9B389" w:rsidR="002820EB" w:rsidRPr="00617681" w:rsidRDefault="002820EB" w:rsidP="00E32F65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444.82</m:t>
              </m:r>
            </m:num>
            <m:den>
              <m:r>
                <w:rPr>
                  <w:rFonts w:ascii="Cambria Math" w:hAnsi="Cambria Math"/>
                </w:rPr>
                <m:t>299</m:t>
              </m:r>
            </m:den>
          </m:f>
          <m:r>
            <w:rPr>
              <w:rFonts w:ascii="Cambria Math" w:eastAsiaTheme="minorEastAsia" w:hAnsi="Cambria Math"/>
            </w:rPr>
            <m:t>=1.48</m:t>
          </m:r>
        </m:oMath>
      </m:oMathPara>
    </w:p>
    <w:p w14:paraId="680A7CD5" w14:textId="5E5354C6" w:rsidR="00617681" w:rsidRDefault="00617681" w:rsidP="00E32F65">
      <w:pPr>
        <w:jc w:val="both"/>
      </w:pPr>
      <w:r>
        <w:t>Ahora con el conocimiento de este dato, proseguimos a lo siguiente:</w:t>
      </w:r>
    </w:p>
    <w:p w14:paraId="3F6A4622" w14:textId="0E39F355" w:rsidR="00FA61E5" w:rsidRDefault="00D34AD3" w:rsidP="00E32F65">
      <w:pPr>
        <w:jc w:val="both"/>
      </w:pPr>
      <w:r>
        <w:rPr>
          <w:noProof/>
        </w:rPr>
        <w:drawing>
          <wp:inline distT="0" distB="0" distL="0" distR="0" wp14:anchorId="2C5DD231" wp14:editId="00521297">
            <wp:extent cx="5612130" cy="1186180"/>
            <wp:effectExtent l="0" t="0" r="7620" b="0"/>
            <wp:docPr id="298887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870" name="Imagen 1" descr="Interfaz de usuario gráfica, Aplicación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2070" w14:textId="32BE3917" w:rsidR="00D34AD3" w:rsidRDefault="006A02F8" w:rsidP="00E32F65">
      <w:pPr>
        <w:jc w:val="both"/>
      </w:pPr>
      <w:r>
        <w:t xml:space="preserve">Con base en los datos recolectados en la frecuencia con la que los usuarios cambian sus contraseñas. Ahora se desea determinar si la varianza es igual a un valor de referencia esperado. Este valor de referencia </w:t>
      </w:r>
      <w:r w:rsidR="00617681">
        <w:t>está</w:t>
      </w:r>
      <w:r>
        <w:t xml:space="preserve"> determinado</w:t>
      </w:r>
      <w:r w:rsidR="00617681">
        <w:t xml:space="preserve"> en</w:t>
      </w:r>
      <w:r>
        <w:t xml:space="preserve"> </w:t>
      </w:r>
      <w:r w:rsidR="00617681">
        <w:t>la aceptación de políticas de seguridad</w:t>
      </w:r>
      <w:r w:rsidR="00617681">
        <w:t xml:space="preserve"> y de</w:t>
      </w:r>
      <w:r>
        <w:t xml:space="preserve"> estudios previos</w:t>
      </w:r>
      <w:r w:rsidR="00617681">
        <w:t xml:space="preserve"> realizados</w:t>
      </w:r>
      <w:r>
        <w:t xml:space="preserve">. Para este análisis, se considera como valor de la varianza igual a </w:t>
      </w:r>
      <w:r w:rsidR="00617681">
        <w:t>1.48</w:t>
      </w:r>
      <w:r>
        <w:t xml:space="preserve"> con un nivel de significancia igual a 0.05.</w:t>
      </w:r>
    </w:p>
    <w:p w14:paraId="088A8E9F" w14:textId="6CB9848B" w:rsidR="00F61D33" w:rsidRDefault="00FF20B6" w:rsidP="00E32F65">
      <w:pPr>
        <w:jc w:val="both"/>
      </w:pPr>
      <w:r>
        <w:t>Entonces:</w:t>
      </w:r>
    </w:p>
    <w:p w14:paraId="504C9230" w14:textId="75F39B49" w:rsidR="00CF1E94" w:rsidRPr="00A55C54" w:rsidRDefault="00000000" w:rsidP="00E32F65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1.48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1.48</m:t>
          </m:r>
        </m:oMath>
      </m:oMathPara>
    </w:p>
    <w:p w14:paraId="7054F848" w14:textId="125C4AEB" w:rsidR="00A55C54" w:rsidRDefault="00A55C54" w:rsidP="00E32F65">
      <w:pPr>
        <w:jc w:val="both"/>
        <w:rPr>
          <w:rFonts w:eastAsiaTheme="minorEastAsia"/>
        </w:rPr>
      </w:pPr>
      <w:r>
        <w:rPr>
          <w:rFonts w:eastAsiaTheme="minorEastAsia"/>
        </w:rPr>
        <w:t>Datos:</w:t>
      </w:r>
    </w:p>
    <w:p w14:paraId="3A1E1B2A" w14:textId="77777777" w:rsidR="00331F73" w:rsidRPr="00331F73" w:rsidRDefault="00951C79" w:rsidP="00E32F65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n=59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nivel de significancia=0.05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=0.0981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grado de libertad=59-1=58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5E187398" w14:textId="6E0A8A7F" w:rsidR="00A55C54" w:rsidRDefault="00331F73" w:rsidP="00E32F65">
      <w:pPr>
        <w:jc w:val="both"/>
        <w:rPr>
          <w:rFonts w:eastAsiaTheme="minorEastAsia"/>
        </w:rPr>
      </w:pPr>
      <w:r>
        <w:rPr>
          <w:rFonts w:eastAsiaTheme="minorEastAsia"/>
        </w:rPr>
        <w:t>C</w:t>
      </w:r>
      <w:r w:rsidR="003662EB">
        <w:rPr>
          <w:rFonts w:eastAsiaTheme="minorEastAsia"/>
        </w:rPr>
        <w:t xml:space="preserve">alculando el </w:t>
      </w:r>
      <w:r>
        <w:rPr>
          <w:rFonts w:eastAsiaTheme="minorEastAsia"/>
        </w:rPr>
        <w:t>estadístico de la distribución chi-cuadrada:</w:t>
      </w:r>
    </w:p>
    <w:p w14:paraId="53C2795D" w14:textId="127130E4" w:rsidR="006336E2" w:rsidRPr="00B87B9A" w:rsidRDefault="00000000" w:rsidP="00E32F65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59-1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0.0981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1.48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3.8444</m:t>
          </m:r>
        </m:oMath>
      </m:oMathPara>
    </w:p>
    <w:p w14:paraId="6DF7D47D" w14:textId="23AA4B86" w:rsidR="00B87B9A" w:rsidRDefault="00B87B9A" w:rsidP="00E32F6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Calculando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3FFBDD06" w14:textId="3E0C2A4E" w:rsidR="00B87B9A" w:rsidRPr="00AD4FCF" w:rsidRDefault="00000000" w:rsidP="00E32F65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=0.025;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=0.975</m:t>
          </m:r>
        </m:oMath>
      </m:oMathPara>
    </w:p>
    <w:p w14:paraId="24EEAC6D" w14:textId="6FAC369D" w:rsidR="00AD4FCF" w:rsidRDefault="006C1202" w:rsidP="00E32F65">
      <w:pPr>
        <w:jc w:val="both"/>
        <w:rPr>
          <w:rFonts w:eastAsiaTheme="minorEastAsia"/>
        </w:rPr>
      </w:pPr>
      <w:r>
        <w:rPr>
          <w:rFonts w:eastAsiaTheme="minorEastAsia"/>
        </w:rPr>
        <w:t>Calculando valores críticos</w:t>
      </w:r>
    </w:p>
    <w:p w14:paraId="7353119D" w14:textId="75999794" w:rsidR="006C1202" w:rsidRDefault="00000000" w:rsidP="00E32F65">
      <w:pP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58,0.025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=79.082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58,0.975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=39.363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29442F">
        <w:rPr>
          <w:rFonts w:eastAsiaTheme="minorEastAsia"/>
        </w:rPr>
        <w:t>Ahora:</w:t>
      </w:r>
    </w:p>
    <w:p w14:paraId="12DC624B" w14:textId="12946296" w:rsidR="0029442F" w:rsidRPr="0014259B" w:rsidRDefault="00000000" w:rsidP="00E32F65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:39.363 &lt;</m:t>
          </m:r>
          <m:r>
            <w:rPr>
              <w:rFonts w:ascii="Cambria Math" w:eastAsiaTheme="minorEastAsia" w:hAnsi="Cambria Math"/>
            </w:rPr>
            <m:t>3.8444</m:t>
          </m:r>
          <m:r>
            <w:rPr>
              <w:rFonts w:ascii="Cambria Math" w:eastAsiaTheme="minorEastAsia" w:hAnsi="Cambria Math"/>
            </w:rPr>
            <m:t>&lt;79.082</m:t>
          </m:r>
        </m:oMath>
      </m:oMathPara>
    </w:p>
    <w:p w14:paraId="4248D59F" w14:textId="17F32DEA" w:rsidR="0014259B" w:rsidRDefault="00E32F65" w:rsidP="00E32F65">
      <w:pPr>
        <w:jc w:val="both"/>
        <w:rPr>
          <w:rFonts w:eastAsiaTheme="minorEastAsia"/>
        </w:rPr>
      </w:pPr>
      <w:r w:rsidRPr="00E32F65">
        <w:rPr>
          <w:rFonts w:eastAsiaTheme="minorEastAsia"/>
        </w:rPr>
        <w:t xml:space="preserve">Con un nivel de significancia del 5%, se rechaza la hipótesis nula. Esto indica que existe una diferencia estadísticamente significativa entre la varianza muestral observada (0.0981) y la varianza poblacional </w:t>
      </w:r>
      <w:r>
        <w:rPr>
          <w:rFonts w:eastAsiaTheme="minorEastAsia"/>
        </w:rPr>
        <w:t>conocida</w:t>
      </w:r>
      <w:r w:rsidRPr="00E32F65">
        <w:rPr>
          <w:rFonts w:eastAsiaTheme="minorEastAsia"/>
        </w:rPr>
        <w:t xml:space="preserve"> (1.48).</w:t>
      </w:r>
    </w:p>
    <w:p w14:paraId="7ADE798B" w14:textId="0286EDD3" w:rsidR="00E32F65" w:rsidRPr="0014259B" w:rsidRDefault="00E32F65" w:rsidP="00E32F65">
      <w:pPr>
        <w:jc w:val="both"/>
        <w:rPr>
          <w:rFonts w:eastAsiaTheme="minorEastAsia"/>
        </w:rPr>
      </w:pPr>
      <w:r w:rsidRPr="00E32F65">
        <w:rPr>
          <w:rFonts w:eastAsiaTheme="minorEastAsia"/>
        </w:rPr>
        <w:t>Es decir, los datos muestran una variabilidad mucho menor que la esperada según el valor poblacional, lo cual sugiere una posible discrepancia estructural entre la muestra y la población.</w:t>
      </w:r>
    </w:p>
    <w:sectPr w:rsidR="00E32F65" w:rsidRPr="001425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D3"/>
    <w:rsid w:val="000B3B64"/>
    <w:rsid w:val="000F318A"/>
    <w:rsid w:val="0011202E"/>
    <w:rsid w:val="00134411"/>
    <w:rsid w:val="0014259B"/>
    <w:rsid w:val="001766B9"/>
    <w:rsid w:val="00191756"/>
    <w:rsid w:val="002820EB"/>
    <w:rsid w:val="0029442F"/>
    <w:rsid w:val="002E5034"/>
    <w:rsid w:val="00331F73"/>
    <w:rsid w:val="00342B06"/>
    <w:rsid w:val="00343BB4"/>
    <w:rsid w:val="003662EB"/>
    <w:rsid w:val="003B7621"/>
    <w:rsid w:val="003E1BE1"/>
    <w:rsid w:val="00414E9D"/>
    <w:rsid w:val="00433137"/>
    <w:rsid w:val="00617681"/>
    <w:rsid w:val="006336E2"/>
    <w:rsid w:val="006A02F8"/>
    <w:rsid w:val="006C1202"/>
    <w:rsid w:val="00711693"/>
    <w:rsid w:val="007C5F98"/>
    <w:rsid w:val="009054E2"/>
    <w:rsid w:val="00951C79"/>
    <w:rsid w:val="009C1768"/>
    <w:rsid w:val="009D34AF"/>
    <w:rsid w:val="00A35CA5"/>
    <w:rsid w:val="00A55C54"/>
    <w:rsid w:val="00AD4FCF"/>
    <w:rsid w:val="00B00B14"/>
    <w:rsid w:val="00B3580C"/>
    <w:rsid w:val="00B87B9A"/>
    <w:rsid w:val="00BD0FFA"/>
    <w:rsid w:val="00BE21F5"/>
    <w:rsid w:val="00BE267A"/>
    <w:rsid w:val="00C7684D"/>
    <w:rsid w:val="00CF1E94"/>
    <w:rsid w:val="00D34AD3"/>
    <w:rsid w:val="00D473A3"/>
    <w:rsid w:val="00DB37A8"/>
    <w:rsid w:val="00DF19BC"/>
    <w:rsid w:val="00E32F65"/>
    <w:rsid w:val="00F61D33"/>
    <w:rsid w:val="00FA61E5"/>
    <w:rsid w:val="00FC7D4D"/>
    <w:rsid w:val="00FF20B6"/>
    <w:rsid w:val="00F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4520"/>
  <w15:chartTrackingRefBased/>
  <w15:docId w15:val="{39DFDB92-C4F3-46B9-9E53-4489D197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4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4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4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4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4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4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4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4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4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4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4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4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4A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4A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4A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4A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4A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4A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4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4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4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4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4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4A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4A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4A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4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4A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4AD3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E1BE1"/>
    <w:rPr>
      <w:color w:val="666666"/>
    </w:rPr>
  </w:style>
  <w:style w:type="table" w:styleId="Tablaconcuadrcula">
    <w:name w:val="Table Grid"/>
    <w:basedOn w:val="Tablanormal"/>
    <w:uiPriority w:val="39"/>
    <w:rsid w:val="00282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2820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488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Freddy Alva Perez</dc:creator>
  <cp:keywords/>
  <dc:description/>
  <cp:lastModifiedBy>Alan Freddy Alva Perez</cp:lastModifiedBy>
  <cp:revision>3</cp:revision>
  <dcterms:created xsi:type="dcterms:W3CDTF">2025-06-17T03:00:00Z</dcterms:created>
  <dcterms:modified xsi:type="dcterms:W3CDTF">2025-06-29T22:13:00Z</dcterms:modified>
</cp:coreProperties>
</file>