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Calibri" w:cs="Calibri" w:eastAsia="Calibri" w:hAnsi="Calibri"/>
          <w:sz w:val="24"/>
          <w:szCs w:val="24"/>
        </w:rPr>
        <w:drawing>
          <wp:inline distB="114300" distT="114300" distL="114300" distR="114300">
            <wp:extent cx="4291013" cy="1824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91013" cy="1824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pStyle w:val="Title"/>
        <w:keepNext w:val="0"/>
        <w:keepLines w:val="0"/>
        <w:spacing w:after="80" w:line="240" w:lineRule="auto"/>
        <w:jc w:val="center"/>
        <w:rPr>
          <w:rFonts w:ascii="Calibri" w:cs="Calibri" w:eastAsia="Calibri" w:hAnsi="Calibri"/>
          <w:sz w:val="60"/>
          <w:szCs w:val="60"/>
        </w:rPr>
      </w:pPr>
      <w:bookmarkStart w:colFirst="0" w:colLast="0" w:name="_r4h2ira20l6c" w:id="0"/>
      <w:bookmarkEnd w:id="0"/>
      <w:r w:rsidDel="00000000" w:rsidR="00000000" w:rsidRPr="00000000">
        <w:rPr>
          <w:rFonts w:ascii="Calibri" w:cs="Calibri" w:eastAsia="Calibri" w:hAnsi="Calibri"/>
          <w:sz w:val="60"/>
          <w:szCs w:val="60"/>
          <w:rtl w:val="0"/>
        </w:rPr>
        <w:t xml:space="preserve">Diagrama de casos de uso y de secuencia a nivel de análisis</w:t>
      </w:r>
    </w:p>
    <w:p w:rsidR="00000000" w:rsidDel="00000000" w:rsidP="00000000" w:rsidRDefault="00000000" w:rsidRPr="00000000" w14:paraId="00000005">
      <w:pPr>
        <w:pStyle w:val="Title"/>
        <w:keepNext w:val="0"/>
        <w:keepLines w:val="0"/>
        <w:spacing w:after="80" w:line="240" w:lineRule="auto"/>
        <w:jc w:val="center"/>
        <w:rPr>
          <w:rFonts w:ascii="Times New Roman" w:cs="Times New Roman" w:eastAsia="Times New Roman" w:hAnsi="Times New Roman"/>
          <w:color w:val="333333"/>
          <w:sz w:val="38"/>
          <w:szCs w:val="38"/>
        </w:rPr>
      </w:pPr>
      <w:bookmarkStart w:colFirst="0" w:colLast="0" w:name="_xpbv29zg0zjk" w:id="1"/>
      <w:bookmarkEnd w:id="1"/>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color w:val="333333"/>
          <w:sz w:val="34"/>
          <w:szCs w:val="3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Alumnos</w:t>
      </w:r>
    </w:p>
    <w:p w:rsidR="00000000" w:rsidDel="00000000" w:rsidP="00000000" w:rsidRDefault="00000000" w:rsidRPr="00000000" w14:paraId="000000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Jose Joaquin Trista Rosales  - 00000262715</w:t>
      </w:r>
    </w:p>
    <w:p w:rsidR="00000000" w:rsidDel="00000000" w:rsidP="00000000" w:rsidRDefault="00000000" w:rsidRPr="00000000" w14:paraId="0000000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Carmen Andre Lara Osuna - 00000262726</w:t>
      </w:r>
    </w:p>
    <w:p w:rsidR="00000000" w:rsidDel="00000000" w:rsidP="00000000" w:rsidRDefault="00000000" w:rsidRPr="00000000" w14:paraId="0000000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Isaac Iran Fierro Gerhardus - 00000262742</w:t>
      </w:r>
    </w:p>
    <w:p w:rsidR="00000000" w:rsidDel="00000000" w:rsidP="00000000" w:rsidRDefault="00000000" w:rsidRPr="00000000" w14:paraId="0000001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Jesus Omar Cosio Lopez - 00000268367</w:t>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w:t>
      </w:r>
    </w:p>
    <w:p w:rsidR="00000000" w:rsidDel="00000000" w:rsidP="00000000" w:rsidRDefault="00000000" w:rsidRPr="00000000" w14:paraId="0000001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Fonts w:ascii="Times New Roman" w:cs="Times New Roman" w:eastAsia="Times New Roman" w:hAnsi="Times New Roman"/>
          <w:sz w:val="28"/>
          <w:szCs w:val="28"/>
          <w:rtl w:val="0"/>
        </w:rPr>
        <w:t xml:space="preserve">/09/2026</w:t>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Materia</w:t>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Arquitectura de Software</w:t>
      </w:r>
    </w:p>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Profesor</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GILBERTO BORREGO SOTO</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101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b w:val="1"/>
          <w:bCs w:val="1"/>
          <w:sz w:val="24"/>
          <w:szCs w:val="24"/>
        </w:rPr>
      </w:pPr>
      <w:r w:rsidDel="00000000" w:rsidR="00000000" w:rsidRPr="00000000">
        <w:rPr>
          <w:sz w:val="24"/>
          <w:szCs w:val="24"/>
          <w:rtl w:val="0"/>
        </w:rPr>
        <w:t xml:space="preserve">Caso </w:t>
      </w:r>
      <w:r w:rsidDel="00000000" w:rsidR="00000000" w:rsidRPr="00000000">
        <w:rPr>
          <w:b w:val="1"/>
          <w:bCs w:val="1"/>
          <w:sz w:val="24"/>
          <w:szCs w:val="24"/>
          <w:rtl w:val="0"/>
        </w:rPr>
        <w:t xml:space="preserve">“Configurar Usuario”</w:t>
      </w:r>
    </w:p>
    <w:p w:rsidR="00000000" w:rsidDel="00000000" w:rsidP="00000000" w:rsidRDefault="00000000" w:rsidRPr="00000000" w14:paraId="00000023">
      <w:pPr>
        <w:spacing w:line="240" w:lineRule="auto"/>
        <w:ind w:firstLine="720"/>
        <w:rPr>
          <w:sz w:val="24"/>
          <w:szCs w:val="24"/>
        </w:rPr>
      </w:pPr>
      <w:r w:rsidDel="00000000" w:rsidR="00000000" w:rsidRPr="00000000">
        <w:rPr>
          <w:sz w:val="24"/>
          <w:szCs w:val="24"/>
          <w:rtl w:val="0"/>
        </w:rPr>
        <w:t xml:space="preserve">Permite al jugador registrar su nickname y seleccionar un avatar.</w:t>
      </w:r>
    </w:p>
    <w:p w:rsidR="00000000" w:rsidDel="00000000" w:rsidP="00000000" w:rsidRDefault="00000000" w:rsidRPr="00000000" w14:paraId="00000024">
      <w:pPr>
        <w:spacing w:line="240" w:lineRule="auto"/>
        <w:ind w:firstLine="720"/>
        <w:rPr>
          <w:sz w:val="24"/>
          <w:szCs w:val="24"/>
        </w:rPr>
      </w:pPr>
      <w:r w:rsidDel="00000000" w:rsidR="00000000" w:rsidRPr="00000000">
        <w:rPr>
          <w:rtl w:val="0"/>
        </w:rPr>
      </w:r>
    </w:p>
    <w:p w:rsidR="00000000" w:rsidDel="00000000" w:rsidP="00000000" w:rsidRDefault="00000000" w:rsidRPr="00000000" w14:paraId="00000025">
      <w:pPr>
        <w:spacing w:line="240" w:lineRule="auto"/>
        <w:ind w:left="0" w:firstLine="0"/>
        <w:rPr>
          <w:b w:val="1"/>
          <w:bCs w:val="1"/>
          <w:sz w:val="24"/>
          <w:szCs w:val="24"/>
        </w:rPr>
      </w:pPr>
      <w:r w:rsidDel="00000000" w:rsidR="00000000" w:rsidRPr="00000000">
        <w:rPr>
          <w:sz w:val="24"/>
          <w:szCs w:val="24"/>
          <w:rtl w:val="0"/>
        </w:rPr>
        <w:t xml:space="preserve">Caso </w:t>
      </w:r>
      <w:r w:rsidDel="00000000" w:rsidR="00000000" w:rsidRPr="00000000">
        <w:rPr>
          <w:b w:val="1"/>
          <w:bCs w:val="1"/>
          <w:sz w:val="24"/>
          <w:szCs w:val="24"/>
          <w:rtl w:val="0"/>
        </w:rPr>
        <w:t xml:space="preserve">“Configurar Partida”</w:t>
      </w:r>
    </w:p>
    <w:p w:rsidR="00000000" w:rsidDel="00000000" w:rsidP="00000000" w:rsidRDefault="00000000" w:rsidRPr="00000000" w14:paraId="00000026">
      <w:pPr>
        <w:spacing w:line="240" w:lineRule="auto"/>
        <w:ind w:left="720" w:firstLine="0"/>
        <w:rPr>
          <w:sz w:val="24"/>
          <w:szCs w:val="24"/>
        </w:rPr>
      </w:pPr>
      <w:r w:rsidDel="00000000" w:rsidR="00000000" w:rsidRPr="00000000">
        <w:rPr>
          <w:sz w:val="24"/>
          <w:szCs w:val="24"/>
          <w:rtl w:val="0"/>
        </w:rPr>
        <w:t xml:space="preserve">El primer jugador (anfitrión) define las características de la partida: número de jugadores (2–4), tipo de puntaje (llena, chorro, cuatro esquinas, centro) y nivel de dificultad (básico, intermedio, experto).</w:t>
      </w:r>
    </w:p>
    <w:p w:rsidR="00000000" w:rsidDel="00000000" w:rsidP="00000000" w:rsidRDefault="00000000" w:rsidRPr="00000000" w14:paraId="00000027">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8">
      <w:pPr>
        <w:spacing w:line="240" w:lineRule="auto"/>
        <w:ind w:left="0" w:firstLine="0"/>
        <w:rPr>
          <w:b w:val="1"/>
          <w:bCs w:val="1"/>
          <w:sz w:val="24"/>
          <w:szCs w:val="24"/>
        </w:rPr>
      </w:pPr>
      <w:r w:rsidDel="00000000" w:rsidR="00000000" w:rsidRPr="00000000">
        <w:rPr>
          <w:sz w:val="24"/>
          <w:szCs w:val="24"/>
          <w:rtl w:val="0"/>
        </w:rPr>
        <w:t xml:space="preserve">Caso </w:t>
      </w:r>
      <w:r w:rsidDel="00000000" w:rsidR="00000000" w:rsidRPr="00000000">
        <w:rPr>
          <w:b w:val="1"/>
          <w:bCs w:val="1"/>
          <w:sz w:val="24"/>
          <w:szCs w:val="24"/>
          <w:rtl w:val="0"/>
        </w:rPr>
        <w:t xml:space="preserve">“Jugar”</w:t>
      </w:r>
    </w:p>
    <w:p w:rsidR="00000000" w:rsidDel="00000000" w:rsidP="00000000" w:rsidRDefault="00000000" w:rsidRPr="00000000" w14:paraId="00000029">
      <w:pPr>
        <w:spacing w:line="240" w:lineRule="auto"/>
        <w:ind w:left="720" w:firstLine="0"/>
        <w:rPr>
          <w:sz w:val="24"/>
          <w:szCs w:val="24"/>
        </w:rPr>
      </w:pPr>
      <w:r w:rsidDel="00000000" w:rsidR="00000000" w:rsidRPr="00000000">
        <w:rPr>
          <w:sz w:val="24"/>
          <w:szCs w:val="24"/>
          <w:rtl w:val="0"/>
        </w:rPr>
        <w:t xml:space="preserve">El gritón “barajea” y grita las cartas, los jugadores marcan las casillas según la carta que corresponda, en dado caso de completar alguna jugada de las ya establecidas el jugador reclama el puntaje, esto hasta que algún jugador complete su tablero y reclame llena. </w:t>
      </w:r>
    </w:p>
    <w:p w:rsidR="00000000" w:rsidDel="00000000" w:rsidP="00000000" w:rsidRDefault="00000000" w:rsidRPr="00000000" w14:paraId="0000002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before="127" w:line="306.99999999999994" w:lineRule="auto"/>
        <w:ind w:right="33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