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spacing w:after="120" w:before="480" w:line="276" w:lineRule="auto"/>
        <w:ind w:right="-630"/>
        <w:rPr>
          <w:rFonts w:ascii="Calibri" w:cs="Calibri" w:eastAsia="Calibri" w:hAnsi="Calibri"/>
          <w:b w:val="1"/>
          <w:color w:val="0091bd"/>
          <w:sz w:val="36"/>
          <w:szCs w:val="36"/>
        </w:rPr>
      </w:pPr>
      <w:bookmarkStart w:colFirst="0" w:colLast="0" w:name="_501av29h8u3r" w:id="0"/>
      <w:bookmarkEnd w:id="0"/>
      <w:r w:rsidDel="00000000" w:rsidR="00000000" w:rsidRPr="00000000">
        <w:rPr>
          <w:b w:val="1"/>
          <w:color w:val="0091bd"/>
          <w:sz w:val="36"/>
          <w:szCs w:val="36"/>
          <w:rtl w:val="0"/>
        </w:rPr>
        <w:t xml:space="preserve">Embedded Systems Essentials with Arm: Get Practical with Hardware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color w:val="0091bd"/>
          <w:sz w:val="28"/>
          <w:szCs w:val="28"/>
        </w:rPr>
      </w:pPr>
      <w:r w:rsidDel="00000000" w:rsidR="00000000" w:rsidRPr="00000000">
        <w:rPr>
          <w:color w:val="0091bd"/>
          <w:sz w:val="28"/>
          <w:szCs w:val="28"/>
          <w:rtl w:val="0"/>
        </w:rPr>
        <w:t xml:space="preserve">Module 2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color w:val="0091bd"/>
          <w:sz w:val="28"/>
          <w:szCs w:val="28"/>
          <w:rtl w:val="0"/>
        </w:rPr>
        <w:t xml:space="preserve">KV4: Review, Making Serial Design 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embedded systems designers, we need to know the various tools at our disposal. In this module, we’ve added the I2C protocol as a possibility for serial communication. Let’s now look at  what it’s good at and some of its weaknesses.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 strengths are: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successfully set up fairly complex communication networks.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add nodes to the system and change your software without changing the hardware.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I2C is more flexible than SPI because some devices have multiple internal registers with different I2C addresses and you can access those.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I2C is more reliable than SPI in that if an addressed device doesn’t send acknowledgement, the master can recognize that there’s a fault in the system.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weaknesses of I2C are: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Sending address data (“start,” “stop” and “acknowledge”) can slow down the data transfer process.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I2C doesn’t completely remove the risk of interference. This is because there is no error checking mechanism.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Overall, I2C is more reliable than SPI but is still not suitable for complex data communication and use in high reliability systems.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evaluate the four protocols we’ve seen so far. These are: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SPI (serial peripheral interface)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Asynchronous serial communication based on UARTs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I2C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USB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embedded systems designers, we want to recognize the strengths and weaknesses of each.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 is a good, simple method of data transfer. I2C keeps the strengths of SPI and addresses some of its weaknesses. It adds a bit of complexity to the signal and to the underlying software. There are many peripheral devices that we can hook up to SPI or I2C.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asynchronous serial communication, we don’t have the annoyance of connecting the clock. This is a useful protocol, but it’s not suitable for use in high-reliability systems. This is equally true for I2C or SPI.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USB has a big place in the world of computing and has a smaller role in the world of embedded systems.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table summarizes some useful applications of each of the four protocols we’ve looked at in the context of embedded systems.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31.531831391739"/>
        <w:gridCol w:w="1466.2897737151943"/>
        <w:gridCol w:w="1352.4031893489655"/>
        <w:gridCol w:w="1565.9405350356442"/>
        <w:gridCol w:w="1409.34648153208"/>
        <w:tblGridChange w:id="0">
          <w:tblGrid>
            <w:gridCol w:w="3231.531831391739"/>
            <w:gridCol w:w="1466.2897737151943"/>
            <w:gridCol w:w="1352.4031893489655"/>
            <w:gridCol w:w="1565.9405350356442"/>
            <w:gridCol w:w="1409.34648153208"/>
          </w:tblGrid>
        </w:tblGridChange>
      </w:tblGrid>
      <w:tr>
        <w:trPr>
          <w:trHeight w:val="225" w:hRule="atLeast"/>
        </w:trPr>
        <w:tc>
          <w:tcPr>
            <w:tcBorders>
              <w:top w:color="0091bd" w:space="0" w:sz="6" w:val="single"/>
              <w:left w:color="0091bd" w:space="0" w:sz="6" w:val="single"/>
              <w:bottom w:color="0091bd" w:space="0" w:sz="6" w:val="single"/>
              <w:right w:color="000000" w:space="0" w:sz="0" w:val="nil"/>
            </w:tcBorders>
            <w:shd w:fill="0091b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Transfer Requirement​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shd w:fill="0091b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SPI​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shd w:fill="0091b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UART​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shd w:fill="0091b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I2C​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91bd" w:space="0" w:sz="6" w:val="single"/>
            </w:tcBorders>
            <w:shd w:fill="0091b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USB​</w:t>
            </w:r>
          </w:p>
        </w:tc>
      </w:tr>
      <w:tr>
        <w:trPr>
          <w:trHeight w:val="540" w:hRule="atLeast"/>
        </w:trPr>
        <w:tc>
          <w:tcPr>
            <w:tcBorders>
              <w:top w:color="0091bd" w:space="0" w:sz="6" w:val="single"/>
              <w:left w:color="0091bd" w:space="0" w:sz="6" w:val="single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Fixed one-to-one or one-to-few, within device 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√​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√​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√​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91bd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X​</w:t>
            </w:r>
          </w:p>
        </w:tc>
      </w:tr>
      <w:tr>
        <w:trPr>
          <w:trHeight w:val="390" w:hRule="atLeast"/>
        </w:trPr>
        <w:tc>
          <w:tcPr>
            <w:tcBorders>
              <w:top w:color="0091bd" w:space="0" w:sz="6" w:val="single"/>
              <w:left w:color="0091bd" w:space="0" w:sz="6" w:val="single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Flexible one-to-few, within device 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√​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91bd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X​</w:t>
            </w:r>
          </w:p>
        </w:tc>
      </w:tr>
      <w:tr>
        <w:trPr>
          <w:trHeight w:val="345" w:hRule="atLeast"/>
        </w:trPr>
        <w:tc>
          <w:tcPr>
            <w:tcBorders>
              <w:top w:color="0091bd" w:space="0" w:sz="6" w:val="single"/>
              <w:left w:color="0091bd" w:space="0" w:sz="6" w:val="single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One (or more)-to-many, within device 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√​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91bd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X​</w:t>
            </w:r>
          </w:p>
        </w:tc>
      </w:tr>
      <w:tr>
        <w:trPr>
          <w:trHeight w:val="345" w:hRule="atLeast"/>
        </w:trPr>
        <w:tc>
          <w:tcPr>
            <w:tcBorders>
              <w:top w:color="0091bd" w:space="0" w:sz="6" w:val="single"/>
              <w:left w:color="0091bd" w:space="0" w:sz="6" w:val="single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One-to-one or one-to-few, between devices, perhaps character-oriented​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√​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91bd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</w:tc>
      </w:tr>
      <w:tr>
        <w:trPr>
          <w:trHeight w:val="330" w:hRule="atLeast"/>
        </w:trPr>
        <w:tc>
          <w:tcPr>
            <w:tcBorders>
              <w:top w:color="0091bd" w:space="0" w:sz="6" w:val="single"/>
              <w:left w:color="0091bd" w:space="0" w:sz="6" w:val="single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Bulk transfer,  occasional, one-to-one​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91bd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√​</w:t>
            </w:r>
          </w:p>
        </w:tc>
      </w:tr>
      <w:tr>
        <w:trPr>
          <w:trHeight w:val="330" w:hRule="atLeast"/>
        </w:trPr>
        <w:tc>
          <w:tcPr>
            <w:tcBorders>
              <w:top w:color="0091bd" w:space="0" w:sz="6" w:val="single"/>
              <w:left w:color="0091bd" w:space="0" w:sz="6" w:val="single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“Plug and play” capability​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91bd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√​</w:t>
            </w:r>
          </w:p>
        </w:tc>
      </w:tr>
      <w:tr>
        <w:trPr>
          <w:trHeight w:val="390" w:hRule="atLeast"/>
        </w:trPr>
        <w:tc>
          <w:tcPr>
            <w:tcBorders>
              <w:top w:color="0091bd" w:space="0" w:sz="6" w:val="single"/>
              <w:left w:color="0091bd" w:space="0" w:sz="6" w:val="single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High reliability application​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X​</w:t>
            </w:r>
          </w:p>
        </w:tc>
        <w:tc>
          <w:tcPr>
            <w:tcBorders>
              <w:top w:color="0091bd" w:space="0" w:sz="6" w:val="single"/>
              <w:left w:color="000000" w:space="0" w:sz="0" w:val="nil"/>
              <w:bottom w:color="0091bd" w:space="0" w:sz="6" w:val="single"/>
              <w:right w:color="0091bd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X​</w:t>
            </w:r>
          </w:p>
        </w:tc>
      </w:tr>
    </w:tbl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√ = good choice.          </w:t>
        <w:tab/>
        <w:t xml:space="preserve">Blank = possible but not preferred.              </w:t>
        <w:tab/>
        <w:t xml:space="preserve">X = inappropriate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Visit arm.com for more information.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d5156"/>
        <w:sz w:val="21"/>
        <w:szCs w:val="21"/>
        <w:highlight w:val="white"/>
        <w:u w:val="none"/>
        <w:vertAlign w:val="baseline"/>
        <w:rtl w:val="0"/>
      </w:rPr>
      <w:t xml:space="preserve">© Arm 2021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895672" cy="34690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95672" cy="34690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