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360"/>
        <w:jc w:val="center"/>
      </w:pPr>
    </w:p>
    <w:p>
      <w:pPr>
        <w:spacing w:line="240" w:lineRule="auto" w:before="0" w:after="120"/>
        <w:jc w:val="center"/>
      </w:pPr>
      <w:r>
        <w:rPr>
          <w:rFonts w:ascii="Times New Roman" w:hAnsi="Times New Roman" w:eastAsia="Times New Roman"/>
          <w:b/>
          <w:i w:val="0"/>
          <w:color w:val="1F3A5F"/>
          <w:sz w:val="28"/>
        </w:rPr>
        <w:t>UNIVERSIDAD NACIONAL JOSÉ MARÍA ARGUEDAS</w:t>
      </w:r>
    </w:p>
    <w:p>
      <w:pPr>
        <w:spacing w:line="240" w:lineRule="auto" w:before="0" w:after="120"/>
        <w:jc w:val="center"/>
      </w:pPr>
      <w:r>
        <w:rPr>
          <w:rFonts w:ascii="Times New Roman" w:hAnsi="Times New Roman" w:eastAsia="Times New Roman"/>
          <w:b/>
          <w:i w:val="0"/>
          <w:sz w:val="24"/>
        </w:rPr>
        <w:t>Facultad de Ingeniería</w:t>
      </w:r>
    </w:p>
    <w:p>
      <w:pPr>
        <w:spacing w:line="240" w:lineRule="auto" w:before="0" w:after="520"/>
        <w:jc w:val="center"/>
      </w:pPr>
      <w:r>
        <w:rPr>
          <w:rFonts w:ascii="Times New Roman" w:hAnsi="Times New Roman" w:eastAsia="Times New Roman"/>
          <w:b/>
          <w:i w:val="0"/>
          <w:sz w:val="24"/>
        </w:rPr>
        <w:t>Escuela Profesional de Ingeniería de Sistemas</w:t>
      </w:r>
    </w:p>
    <w:p>
      <w:pPr>
        <w:spacing w:line="240" w:lineRule="auto" w:before="0" w:after="480"/>
        <w:jc w:val="center"/>
      </w:pPr>
      <w:r>
        <w:rPr>
          <w:rFonts w:ascii="Times New Roman" w:hAnsi="Times New Roman" w:eastAsia="Times New Roman"/>
          <w:b/>
          <w:i w:val="0"/>
          <w:color w:val="1F3A5F"/>
          <w:sz w:val="30"/>
        </w:rPr>
        <w:t>CAPÍTULO: DESARROLLO DE SOFTWARE DEL APLICATIVO MÓVIL VITMATERNA CON LA METODOLOGÍA EXTREME PROGRAMMING (XP)</w:t>
      </w:r>
    </w:p>
    <w:p>
      <w:pPr>
        <w:spacing w:line="240" w:lineRule="auto" w:before="0" w:after="80"/>
        <w:jc w:val="center"/>
      </w:pPr>
      <w:r>
        <w:rPr>
          <w:rFonts w:ascii="Times New Roman" w:hAnsi="Times New Roman" w:eastAsia="Times New Roman"/>
          <w:b w:val="0"/>
          <w:i w:val="0"/>
          <w:sz w:val="22"/>
        </w:rPr>
        <w:t>Documento de ingeniería de software del aplicativo móvil, vinculado a la tesis:</w:t>
      </w:r>
    </w:p>
    <w:p>
      <w:pPr>
        <w:spacing w:line="240" w:lineRule="auto" w:before="0" w:after="520"/>
        <w:jc w:val="center"/>
      </w:pPr>
      <w:r>
        <w:rPr>
          <w:rFonts w:ascii="Times New Roman" w:hAnsi="Times New Roman" w:eastAsia="Times New Roman"/>
          <w:b/>
          <w:i w:val="0"/>
          <w:color w:val="404040"/>
          <w:sz w:val="23"/>
        </w:rPr>
        <w:t>«Impacto del aplicativo móvil VITMATERNA en los servicios prenatales en gestantes del Centro de Salud Talavera, 2025»</w:t>
      </w:r>
    </w:p>
    <w:p>
      <w:pPr>
        <w:spacing w:line="240" w:lineRule="auto" w:before="0" w:after="320"/>
        <w:jc w:val="center"/>
      </w:pPr>
      <w:r>
        <w:rPr>
          <w:rFonts w:ascii="Times New Roman" w:hAnsi="Times New Roman" w:eastAsia="Times New Roman"/>
          <w:b w:val="0"/>
          <w:i w:val="0"/>
          <w:sz w:val="24"/>
        </w:rPr>
        <w:t>Autor: Bach. Berrocal Salazar Cristhian Rodrigo</w:t>
      </w:r>
    </w:p>
    <w:p>
      <w:pPr>
        <w:spacing w:line="240" w:lineRule="auto" w:before="0" w:after="600"/>
        <w:jc w:val="center"/>
      </w:pPr>
      <w:r>
        <w:rPr>
          <w:rFonts w:ascii="Times New Roman" w:hAnsi="Times New Roman" w:eastAsia="Times New Roman"/>
          <w:b w:val="0"/>
          <w:i w:val="0"/>
          <w:sz w:val="24"/>
        </w:rPr>
        <w:t>Asesor: Dr. Enrique Edgardo Cóndor Tinoco</w:t>
      </w:r>
    </w:p>
    <w:p>
      <w:pPr>
        <w:spacing w:line="240" w:lineRule="auto" w:before="0" w:after="120"/>
        <w:jc w:val="center"/>
      </w:pPr>
      <w:r>
        <w:rPr>
          <w:rFonts w:ascii="Times New Roman" w:hAnsi="Times New Roman" w:eastAsia="Times New Roman"/>
          <w:b/>
          <w:i w:val="0"/>
          <w:sz w:val="24"/>
        </w:rPr>
        <w:t>Andahuaylas – Apurímac – Perú</w:t>
      </w:r>
    </w:p>
    <w:p>
      <w:pPr>
        <w:spacing w:line="240" w:lineRule="auto" w:before="0" w:after="120"/>
        <w:jc w:val="center"/>
      </w:pPr>
      <w:r>
        <w:rPr>
          <w:rFonts w:ascii="Times New Roman" w:hAnsi="Times New Roman" w:eastAsia="Times New Roman"/>
          <w:b/>
          <w:i w:val="0"/>
          <w:sz w:val="24"/>
        </w:rPr>
        <w:t>2025</w:t>
      </w:r>
    </w:p>
    <w:p>
      <w:r>
        <w:br w:type="page"/>
      </w:r>
    </w:p>
    <w:p>
      <w:pPr>
        <w:keepNext/>
        <w:spacing w:line="480" w:lineRule="auto" w:before="120" w:after="0"/>
        <w:jc w:val="center"/>
      </w:pPr>
      <w:r>
        <w:rPr>
          <w:rFonts w:ascii="Times New Roman" w:hAnsi="Times New Roman" w:eastAsia="Times New Roman"/>
          <w:b/>
          <w:i w:val="0"/>
          <w:color w:val="1F3A5F"/>
          <w:sz w:val="28"/>
        </w:rPr>
        <w:t>CAPÍTULO: DESARROLLO DE SOFTWARE</w:t>
      </w:r>
    </w:p>
    <w:p/>
    <w:p>
      <w:pPr>
        <w:spacing w:line="480" w:lineRule="auto" w:after="0"/>
        <w:ind w:firstLine="720"/>
        <w:jc w:val="both"/>
      </w:pPr>
      <w:r>
        <w:rPr>
          <w:rFonts w:ascii="Times New Roman" w:hAnsi="Times New Roman" w:eastAsia="Times New Roman"/>
          <w:b w:val="0"/>
          <w:i w:val="0"/>
          <w:sz w:val="24"/>
        </w:rPr>
        <w:t>Para la construcción del aplicativo móvil VITMATERNA, herramienta de apoyo al seguimiento prenatal de las gestantes del Centro de Salud Talavera, se aplicó la metodología ágil Extreme Programming (XP). Esta metodología es adecuada para proyectos con requisitos dinámicos, ya que prioriza la adaptabilidad, la simplicidad del diseño y la entrega continua de valor mediante iteraciones cortas (Beck &amp; Andres, 2004).</w:t>
      </w:r>
    </w:p>
    <w:p>
      <w:pPr>
        <w:spacing w:line="480" w:lineRule="auto" w:after="0"/>
        <w:ind w:firstLine="720"/>
        <w:jc w:val="both"/>
      </w:pPr>
      <w:r>
        <w:rPr>
          <w:rFonts w:ascii="Times New Roman" w:hAnsi="Times New Roman" w:eastAsia="Times New Roman"/>
          <w:b w:val="0"/>
          <w:i w:val="0"/>
          <w:sz w:val="24"/>
        </w:rPr>
        <w:t>El aplicativo integra el conjunto de cálculos clínicos definidos por la normativa del Ministerio de Salud y los expone mediante una aplicación multiplataforma (móvil Android y web) usable tanto por la gestante como por el personal obstétrico. El ciclo de vida de XP consta de cinco fases: planificación, diseño, codificación, pruebas y despliegue, descritas en este capítulo. La Figura 1 representa dicho ciclo.</w:t>
      </w:r>
    </w:p>
    <w:p>
      <w:pPr>
        <w:keepNext/>
        <w:spacing w:line="480" w:lineRule="auto" w:before="120"/>
      </w:pPr>
      <w:r>
        <w:rPr>
          <w:rFonts w:ascii="Times New Roman" w:hAnsi="Times New Roman" w:eastAsia="Times New Roman"/>
          <w:b/>
          <w:i w:val="0"/>
          <w:sz w:val="24"/>
        </w:rPr>
        <w:t>Figura 1</w:t>
      </w:r>
    </w:p>
    <w:p>
      <w:pPr>
        <w:keepNext/>
        <w:spacing w:line="480" w:lineRule="auto"/>
      </w:pPr>
      <w:r>
        <w:rPr>
          <w:rFonts w:ascii="Times New Roman" w:hAnsi="Times New Roman" w:eastAsia="Times New Roman"/>
          <w:b w:val="0"/>
          <w:i/>
          <w:sz w:val="24"/>
        </w:rPr>
        <w:t>Ciclo de vida de la metodología Extreme Programming (XP)</w:t>
      </w:r>
    </w:p>
    <w:p>
      <w:pPr>
        <w:keepNext/>
        <w:spacing w:line="240" w:lineRule="auto" w:before="80" w:after="80"/>
        <w:jc w:val="center"/>
      </w:pPr>
      <w:r>
        <w:drawing>
          <wp:inline xmlns:a="http://schemas.openxmlformats.org/drawingml/2006/main" xmlns:pic="http://schemas.openxmlformats.org/drawingml/2006/picture">
            <wp:extent cx="5852160" cy="1073852"/>
            <wp:docPr id="1" name="Picture 1"/>
            <wp:cNvGraphicFramePr>
              <a:graphicFrameLocks noChangeAspect="1"/>
            </wp:cNvGraphicFramePr>
            <a:graphic>
              <a:graphicData uri="http://schemas.openxmlformats.org/drawingml/2006/picture">
                <pic:pic>
                  <pic:nvPicPr>
                    <pic:cNvPr id="0" name="fig_xp_ciclo.png"/>
                    <pic:cNvPicPr/>
                  </pic:nvPicPr>
                  <pic:blipFill>
                    <a:blip r:embed="rId9"/>
                    <a:stretch>
                      <a:fillRect/>
                    </a:stretch>
                  </pic:blipFill>
                  <pic:spPr>
                    <a:xfrm>
                      <a:off x="0" y="0"/>
                      <a:ext cx="5852160" cy="1073852"/>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adaptada de los principios de Extreme Programming (Beck &amp; Andres, 2004). La flecha de retorno representa el carácter iterativo e incremental de la metodología.</w:t>
      </w:r>
    </w:p>
    <w:p>
      <w:pPr>
        <w:keepNext/>
        <w:spacing w:line="480" w:lineRule="auto" w:before="120" w:after="0"/>
      </w:pPr>
      <w:r>
        <w:rPr>
          <w:rFonts w:ascii="Times New Roman" w:hAnsi="Times New Roman" w:eastAsia="Times New Roman"/>
          <w:b/>
          <w:i w:val="0"/>
          <w:color w:val="1F3A5F"/>
          <w:sz w:val="26"/>
        </w:rPr>
        <w:t>1. Planificación</w:t>
      </w:r>
    </w:p>
    <w:p>
      <w:pPr>
        <w:spacing w:line="480" w:lineRule="auto" w:after="0"/>
        <w:ind w:firstLine="720"/>
        <w:jc w:val="both"/>
      </w:pPr>
      <w:r>
        <w:rPr>
          <w:rFonts w:ascii="Times New Roman" w:hAnsi="Times New Roman" w:eastAsia="Times New Roman"/>
          <w:b w:val="0"/>
          <w:i w:val="0"/>
          <w:sz w:val="24"/>
        </w:rPr>
        <w:t>En esta etapa se definieron los requerimientos funcionales y no funcionales del aplicativo. El punto de partida fue la situación descrita en la investigación: en el distrito de Talavera muchas gestantes inician tardíamente sus controles, pierden citas por olvido o desconocimiento del cronograma e interrumpen el seguimiento, sin disponer de una herramienta tecnológica que refuerce la comunicación y la adherencia al tratamiento. Por ello se delimitó el alcance del sistema como una herramienta de seguimiento prenatal y soporte a la decisión clínica que opera en línea y sin conexión.</w:t>
      </w:r>
    </w:p>
    <w:p>
      <w:pPr>
        <w:keepNext/>
        <w:spacing w:line="480" w:lineRule="auto" w:before="120" w:after="0"/>
      </w:pPr>
      <w:r>
        <w:rPr>
          <w:rFonts w:ascii="Times New Roman" w:hAnsi="Times New Roman" w:eastAsia="Times New Roman"/>
          <w:b/>
          <w:i w:val="0"/>
          <w:color w:val="2E6CB5"/>
          <w:sz w:val="24"/>
        </w:rPr>
        <w:t>1.1 Requerimientos Funcionales del Sistema</w:t>
      </w:r>
    </w:p>
    <w:p>
      <w:pPr>
        <w:spacing w:line="480" w:lineRule="auto" w:after="0"/>
        <w:ind w:firstLine="720"/>
        <w:jc w:val="both"/>
      </w:pPr>
      <w:r>
        <w:rPr>
          <w:rFonts w:ascii="Times New Roman" w:hAnsi="Times New Roman" w:eastAsia="Times New Roman"/>
          <w:b w:val="0"/>
          <w:i w:val="0"/>
          <w:sz w:val="24"/>
        </w:rPr>
        <w:t>Los requerimientos funcionales describen las capacidades que el sistema debe ofrecer. Se obtuvieron a partir del análisis del proceso de atención prenatal, de la normativa técnica del Ministerio de Salud (MINSA, 2013) y de la operación real de la aplicación con el personal obstétrico del establecimiento. La Tabla 1 presenta los requerimientos funcionales.</w:t>
      </w:r>
    </w:p>
    <w:p>
      <w:pPr>
        <w:keepNext/>
        <w:spacing w:line="480" w:lineRule="auto" w:before="120"/>
      </w:pPr>
      <w:r>
        <w:rPr>
          <w:rFonts w:ascii="Times New Roman" w:hAnsi="Times New Roman" w:eastAsia="Times New Roman"/>
          <w:b/>
          <w:i w:val="0"/>
          <w:sz w:val="24"/>
        </w:rPr>
        <w:t>Tabla 1</w:t>
      </w:r>
    </w:p>
    <w:p>
      <w:pPr>
        <w:keepNext/>
        <w:spacing w:line="480" w:lineRule="auto"/>
      </w:pPr>
      <w:r>
        <w:rPr>
          <w:rFonts w:ascii="Times New Roman" w:hAnsi="Times New Roman" w:eastAsia="Times New Roman"/>
          <w:b w:val="0"/>
          <w:i/>
          <w:sz w:val="24"/>
        </w:rPr>
        <w:t>Requerimientos funcionales del aplicativo VITMATERNA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ID</w:t>
            </w:r>
          </w:p>
        </w:tc>
        <w:tc>
          <w:tcPr>
            <w:tcW w:type="dxa" w:w="216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Nombre del requerimiento</w:t>
            </w:r>
          </w:p>
        </w:tc>
        <w:tc>
          <w:tcPr>
            <w:tcW w:type="dxa" w:w="482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Descripción del requerimiento</w:t>
            </w:r>
          </w:p>
        </w:tc>
        <w:tc>
          <w:tcPr>
            <w:tcW w:type="dxa" w:w="158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Módulo asociado</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RF-001</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Inicio de sesión</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autenticar a los usuarios mediante DNI y contraseña, emitiendo tokens JWT de acceso y de refresco.</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Autenticación</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RF-002</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Cierre de sesión seguro</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cerrar la sesión revocando la sesión activa del usuario en el servidor.</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Autenticación</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RF-003</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gestante</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obstetra debe poder registrar la ficha clínica de la gestante con sus datos obstétricos y antropométricos.</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RF-004</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Calcular el nivel de riesgo</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calcular automáticamente el nivel de riesgo (semáforo) a partir de los datos clínicos de la gestante.</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Clínico</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RF-005</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Corregir hemoglobina por altitud</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corregir la hemoglobina según la altitud y clasificar la anemia conforme a los criterios del MINSA.</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Clínico</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RF-006</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control prenatal</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obstetra debe poder registrar los controles prenatales, que recalculan el riesgo de la gestante.</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Clínico</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RF-007</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Gestionar citas prenatales</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permitir agendar, confirmar, reprogramar y registrar la asistencia a las citas.</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Citas</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RF-008</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Enviar recordatorios automáticos</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enviar recordatorios de citas y de toma de suplementos por canales múltiples.</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Notificaciones</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RF-009</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adherencia al tratamiento</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La gestante debe poder registrar la toma diaria de suplementos, incluso sin conexión a internet.</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Tratamientos</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RF-010</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Reportar signos de alarma</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La gestante debe poder reportar signos de alarma con geolocalización, generando una alerta al obstetra.</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Clínico</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RF-011</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Comunicarse por chat clínico</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ofrecer mensajería en tiempo real entre la gestante y su obstetra.</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Chat</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RF-012</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contenido educativo</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brindar contenidos educativos validados sobre el embarazo y los cuidados prenatales.</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Educación</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RF-013</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Operar sin conexión y sincronizar</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encolar las escrituras en modo sin conexión y sincronizarlas al recuperar la conectividad.</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Sincronización</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RF-014</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Generar reportes e indicadores</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generar indicadores de asistencia y adherencia para el obstetra y el administrador.</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Reportes</w:t>
            </w:r>
          </w:p>
        </w:tc>
      </w:tr>
      <w:tr>
        <w:tc>
          <w:tcPr>
            <w:tcW w:type="dxa" w:w="79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RF-015</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Gestionar usuarios y aprobar obstetras</w:t>
            </w:r>
          </w:p>
        </w:tc>
        <w:tc>
          <w:tcPr>
            <w:tcW w:type="dxa" w:w="482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administrador debe poder crear, listar, actualizar y eliminar usuarios, así como aprobar a los obstetras.</w:t>
            </w:r>
          </w:p>
        </w:tc>
        <w:tc>
          <w:tcPr>
            <w:tcW w:type="dxa" w:w="158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Administración</w:t>
            </w:r>
          </w:p>
        </w:tc>
      </w:tr>
      <w:tr>
        <w:tc>
          <w:tcPr>
            <w:tcW w:type="dxa" w:w="792"/>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RF-016</w:t>
            </w:r>
          </w:p>
        </w:tc>
        <w:tc>
          <w:tcPr>
            <w:tcW w:type="dxa" w:w="216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Configurar el sistema</w:t>
            </w:r>
          </w:p>
        </w:tc>
        <w:tc>
          <w:tcPr>
            <w:tcW w:type="dxa" w:w="482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El administrador debe poder configurar parámetros como los canales de notificación y los módulos opcionales.</w:t>
            </w:r>
          </w:p>
        </w:tc>
        <w:tc>
          <w:tcPr>
            <w:tcW w:type="dxa" w:w="158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Configuración</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del análisis funcional del aplicativo VITMATERNA.</w:t>
      </w:r>
    </w:p>
    <w:p>
      <w:pPr>
        <w:keepNext/>
        <w:spacing w:line="480" w:lineRule="auto" w:before="120" w:after="0"/>
      </w:pPr>
      <w:r>
        <w:rPr>
          <w:rFonts w:ascii="Times New Roman" w:hAnsi="Times New Roman" w:eastAsia="Times New Roman"/>
          <w:b/>
          <w:i w:val="0"/>
          <w:color w:val="2E6CB5"/>
          <w:sz w:val="24"/>
        </w:rPr>
        <w:t>1.2 Requerimientos No Funcionales</w:t>
      </w:r>
    </w:p>
    <w:p>
      <w:pPr>
        <w:spacing w:line="480" w:lineRule="auto" w:after="0"/>
        <w:ind w:firstLine="720"/>
        <w:jc w:val="both"/>
      </w:pPr>
      <w:r>
        <w:rPr>
          <w:rFonts w:ascii="Times New Roman" w:hAnsi="Times New Roman" w:eastAsia="Times New Roman"/>
          <w:b w:val="0"/>
          <w:i w:val="0"/>
          <w:sz w:val="24"/>
        </w:rPr>
        <w:t>Los requerimientos no funcionales establecen las cualidades y restricciones del sistema. La Tabla 2 los presenta.</w:t>
      </w:r>
    </w:p>
    <w:p>
      <w:pPr>
        <w:keepNext/>
        <w:spacing w:line="480" w:lineRule="auto" w:before="120"/>
      </w:pPr>
      <w:r>
        <w:rPr>
          <w:rFonts w:ascii="Times New Roman" w:hAnsi="Times New Roman" w:eastAsia="Times New Roman"/>
          <w:b/>
          <w:i w:val="0"/>
          <w:sz w:val="24"/>
        </w:rPr>
        <w:t>Tabla 2</w:t>
      </w:r>
    </w:p>
    <w:p>
      <w:pPr>
        <w:keepNext/>
        <w:spacing w:line="480" w:lineRule="auto"/>
      </w:pPr>
      <w:r>
        <w:rPr>
          <w:rFonts w:ascii="Times New Roman" w:hAnsi="Times New Roman" w:eastAsia="Times New Roman"/>
          <w:b w:val="0"/>
          <w:i/>
          <w:sz w:val="24"/>
        </w:rPr>
        <w:t>Requerimientos no funcionales del aplicativo VITMATERNA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9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ID</w:t>
            </w:r>
          </w:p>
        </w:tc>
        <w:tc>
          <w:tcPr>
            <w:tcW w:type="dxa" w:w="216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Requerimiento</w:t>
            </w:r>
          </w:p>
        </w:tc>
        <w:tc>
          <w:tcPr>
            <w:tcW w:type="dxa" w:w="590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Descripción del requerimiento</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RNF-001</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Seguridad</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implementar autenticación basada en JWT, control de acceso por roles (RBAC), hashing de contraseñas con bcrypt y almacenamiento cifrado de tokens en el cliente (SecureStore).</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RNF-002</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Usabilidad</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La interfaz debe ser intuitiva y accesible para usuarias con distintos niveles de alfabetización digital, conforme a la norma ISO/IEC 25010.</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RNF-003</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Rendimiento</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tiempo de respuesta de las consultas principales no debe superar los dos segundos en condiciones normales de operación.</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RNF-004</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Disponibilidad offline</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operar de forma local y sincronizar los datos al recuperar la conexión, con reintentos mediante retroceso exponencial.</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RNF-005</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Confiabilidad</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Los cálculos clínicos deben ejecutarse en el servidor como única fuente de verdad, garantizando resultados consistentes y reproducibles.</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RNF-006</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Mantenibilidad</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código debe seguir una arquitectura modular, verificarse con análisis estático (tipado con TypeScript) y disponer de pruebas automatizadas.</w:t>
            </w:r>
          </w:p>
        </w:tc>
      </w:tr>
      <w:tr>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RNF-007</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Auditabilidad</w:t>
            </w:r>
          </w:p>
        </w:tc>
        <w:tc>
          <w:tcPr>
            <w:tcW w:type="dxa" w:w="59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El sistema debe registrar automáticamente las operaciones de modificación de datos para garantizar la trazabilidad.</w:t>
            </w:r>
          </w:p>
        </w:tc>
      </w:tr>
      <w:tr>
        <w:tc>
          <w:tcPr>
            <w:tcW w:type="dxa" w:w="1296"/>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RNF-008</w:t>
            </w:r>
          </w:p>
        </w:tc>
        <w:tc>
          <w:tcPr>
            <w:tcW w:type="dxa" w:w="216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Integridad de datos</w:t>
            </w:r>
          </w:p>
        </w:tc>
        <w:tc>
          <w:tcPr>
            <w:tcW w:type="dxa" w:w="590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El esquema de la base de datos debe gestionarse mediante migraciones versionadas (Prisma) como fuente única de verdad.</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del análisis no funcional y del modelo de calidad ISO/IEC 25010 (ISO/IEC, 2011).</w:t>
      </w:r>
    </w:p>
    <w:p>
      <w:pPr>
        <w:keepNext/>
        <w:spacing w:line="480" w:lineRule="auto" w:before="120" w:after="0"/>
      </w:pPr>
      <w:r>
        <w:rPr>
          <w:rFonts w:ascii="Times New Roman" w:hAnsi="Times New Roman" w:eastAsia="Times New Roman"/>
          <w:b/>
          <w:i w:val="0"/>
          <w:color w:val="2E6CB5"/>
          <w:sz w:val="24"/>
        </w:rPr>
        <w:t>1.3 Definición de Actores y Roles</w:t>
      </w:r>
    </w:p>
    <w:p>
      <w:pPr>
        <w:spacing w:line="480" w:lineRule="auto" w:after="0"/>
        <w:ind w:firstLine="720"/>
        <w:jc w:val="both"/>
      </w:pPr>
      <w:r>
        <w:rPr>
          <w:rFonts w:ascii="Times New Roman" w:hAnsi="Times New Roman" w:eastAsia="Times New Roman"/>
          <w:b w:val="0"/>
          <w:i w:val="0"/>
          <w:sz w:val="24"/>
        </w:rPr>
        <w:t>El aplicativo VITMATERNA define tres roles operativos: la gestante, usuaria final que realiza el autocuidado de su embarazo; el obstetra, profesional de salud que monitorea clínicamente a las gestantes a su cargo; y el administrador, encargado de la gestión integral del sistema. La identidad de los usuarios se gestiona mediante el documento nacional de identidad (DNI), decisión coherente con el contexto rural del establecimiento. La Tabla 3 detalla los permisos de cada rol.</w:t>
      </w:r>
    </w:p>
    <w:p>
      <w:pPr>
        <w:keepNext/>
        <w:spacing w:line="480" w:lineRule="auto" w:before="120"/>
      </w:pPr>
      <w:r>
        <w:rPr>
          <w:rFonts w:ascii="Times New Roman" w:hAnsi="Times New Roman" w:eastAsia="Times New Roman"/>
          <w:b/>
          <w:i w:val="0"/>
          <w:sz w:val="24"/>
        </w:rPr>
        <w:t>Tabla 3</w:t>
      </w:r>
    </w:p>
    <w:p>
      <w:pPr>
        <w:keepNext/>
        <w:spacing w:line="480" w:lineRule="auto"/>
      </w:pPr>
      <w:r>
        <w:rPr>
          <w:rFonts w:ascii="Times New Roman" w:hAnsi="Times New Roman" w:eastAsia="Times New Roman"/>
          <w:b w:val="0"/>
          <w:i/>
          <w:sz w:val="24"/>
        </w:rPr>
        <w:t>Matriz de roles y permisos del aplicativo VITMATERNA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Funcionalidad</w:t>
            </w:r>
          </w:p>
        </w:tc>
        <w:tc>
          <w:tcPr>
            <w:tcW w:type="dxa" w:w="144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Gestante</w:t>
            </w:r>
          </w:p>
        </w:tc>
        <w:tc>
          <w:tcPr>
            <w:tcW w:type="dxa" w:w="144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Obstetra</w:t>
            </w:r>
          </w:p>
        </w:tc>
        <w:tc>
          <w:tcPr>
            <w:tcW w:type="dxa" w:w="187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Administrador</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Iniciar y cerrar sesión</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el estado de su embarazo y nivel de riesgo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Confirmar o solicitar la reprogramación de una cita</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la toma diaria de suplementos</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Reportar signos de alarma con geolocalización</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el contenido educativo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Comunicarse por chat clínico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y editar la ficha de la gestante</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controles prenatales y laboratorio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Gestionar la agenda de citas</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Atender los signos de alarma</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visitas domiciliarias</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reportes e indicadores</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Gestionar usuarios y aprobar obstetras</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r>
      <w:tr>
        <w:tc>
          <w:tcPr>
            <w:tcW w:type="dxa" w:w="504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Gestionar el contenido educativo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No</w:t>
            </w:r>
          </w:p>
        </w:tc>
        <w:tc>
          <w:tcPr>
            <w:tcW w:type="dxa" w:w="187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Sí</w:t>
            </w:r>
          </w:p>
        </w:tc>
      </w:tr>
      <w:tr>
        <w:tc>
          <w:tcPr>
            <w:tcW w:type="dxa" w:w="504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Configurar el sistema y auditar operaciones</w:t>
            </w:r>
          </w:p>
        </w:tc>
        <w:tc>
          <w:tcPr>
            <w:tcW w:type="dxa" w:w="1440"/>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No</w:t>
            </w:r>
          </w:p>
        </w:tc>
        <w:tc>
          <w:tcPr>
            <w:tcW w:type="dxa" w:w="1440"/>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No</w:t>
            </w:r>
          </w:p>
        </w:tc>
        <w:tc>
          <w:tcPr>
            <w:tcW w:type="dxa" w:w="1872"/>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Sí</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del control de acceso implementado en el sistema. El control de roles se aplica en el backend mediante un middleware que verifica el rol contenido en el token JWT.</w:t>
      </w:r>
    </w:p>
    <w:p>
      <w:r>
        <w:br w:type="page"/>
      </w:r>
    </w:p>
    <w:p>
      <w:pPr>
        <w:keepNext/>
        <w:spacing w:line="480" w:lineRule="auto" w:before="120" w:after="0"/>
      </w:pPr>
      <w:r>
        <w:rPr>
          <w:rFonts w:ascii="Times New Roman" w:hAnsi="Times New Roman" w:eastAsia="Times New Roman"/>
          <w:b/>
          <w:i w:val="0"/>
          <w:color w:val="2E6CB5"/>
          <w:sz w:val="24"/>
        </w:rPr>
        <w:t>1.4 Historias de Usuario</w:t>
      </w:r>
    </w:p>
    <w:p>
      <w:pPr>
        <w:spacing w:line="480" w:lineRule="auto" w:after="0"/>
        <w:ind w:firstLine="720"/>
        <w:jc w:val="both"/>
      </w:pPr>
      <w:r>
        <w:rPr>
          <w:rFonts w:ascii="Times New Roman" w:hAnsi="Times New Roman" w:eastAsia="Times New Roman"/>
          <w:b w:val="0"/>
          <w:i w:val="0"/>
          <w:sz w:val="24"/>
        </w:rPr>
        <w:t>En lugar de documentos extensos de especificación, XP utiliza historias de usuario; cada historia representa una funcionalidad descrita desde la perspectiva del usuario final y constituye la base para estimar los tiempos de desarrollo (Beck &amp; Andres, 2004). La Tabla 4 presenta el catálogo resumido de las historias de usuario del sistema, y a continuación se detallan las principales en su formato completo.</w:t>
      </w:r>
    </w:p>
    <w:p>
      <w:pPr>
        <w:keepNext/>
        <w:spacing w:line="480" w:lineRule="auto" w:before="120"/>
      </w:pPr>
      <w:r>
        <w:rPr>
          <w:rFonts w:ascii="Times New Roman" w:hAnsi="Times New Roman" w:eastAsia="Times New Roman"/>
          <w:b/>
          <w:i w:val="0"/>
          <w:sz w:val="24"/>
        </w:rPr>
        <w:t>Tabla 4</w:t>
      </w:r>
    </w:p>
    <w:p>
      <w:pPr>
        <w:keepNext/>
        <w:spacing w:line="480" w:lineRule="auto"/>
      </w:pPr>
      <w:r>
        <w:rPr>
          <w:rFonts w:ascii="Times New Roman" w:hAnsi="Times New Roman" w:eastAsia="Times New Roman"/>
          <w:b w:val="0"/>
          <w:i/>
          <w:sz w:val="24"/>
        </w:rPr>
        <w:t>Catálogo de historias de usuario del aplicativo VITMATERNA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0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ID</w:t>
            </w:r>
          </w:p>
        </w:tc>
        <w:tc>
          <w:tcPr>
            <w:tcW w:type="dxa" w:w="446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Historia de usuario</w:t>
            </w:r>
          </w:p>
        </w:tc>
        <w:tc>
          <w:tcPr>
            <w:tcW w:type="dxa" w:w="216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Rol</w:t>
            </w:r>
          </w:p>
        </w:tc>
        <w:tc>
          <w:tcPr>
            <w:tcW w:type="dxa" w:w="129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Prioridad</w:t>
            </w:r>
          </w:p>
        </w:tc>
        <w:tc>
          <w:tcPr>
            <w:tcW w:type="dxa" w:w="129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Iteración</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HU-01</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Iniciar sesión en el sistema</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Todos</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HU-02</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la ficha clínica de la gestante</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Obstetra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2</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HU-03</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el estado del embarazo y el nivel de riesgo</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2</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HU-04</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Gestionar la agenda de citas prenatales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Obstetra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3</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HU-05</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Confirmar o reprogramar una cita</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Media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3</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HU-06</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Recibir recordatorios de citas y suplementos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3</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HU-07</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Registrar la toma diaria de suplementos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3</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HU-08</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Reportar un signo de alarma con geolocalización</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HU-09</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Comunicarse por chat clínico</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 / Obstetra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Media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HU-10</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el contenido educativo</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Media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5</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HU-11</w:t>
            </w:r>
          </w:p>
        </w:tc>
        <w:tc>
          <w:tcPr>
            <w:tcW w:type="dxa" w:w="44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Consultar y exportar reportes e indicadores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Obstetra / Admin.</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Media</w:t>
            </w:r>
          </w:p>
        </w:tc>
        <w:tc>
          <w:tcPr>
            <w:tcW w:type="dxa" w:w="129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5</w:t>
            </w:r>
          </w:p>
        </w:tc>
      </w:tr>
      <w:tr>
        <w:tc>
          <w:tcPr>
            <w:tcW w:type="dxa" w:w="1008"/>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HU-12</w:t>
            </w:r>
          </w:p>
        </w:tc>
        <w:tc>
          <w:tcPr>
            <w:tcW w:type="dxa" w:w="446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Gestionar usuarios y aprobar obstetras</w:t>
            </w:r>
          </w:p>
        </w:tc>
        <w:tc>
          <w:tcPr>
            <w:tcW w:type="dxa" w:w="216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Administrador</w:t>
            </w:r>
          </w:p>
        </w:tc>
        <w:tc>
          <w:tcPr>
            <w:tcW w:type="dxa" w:w="1296"/>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Alta</w:t>
            </w:r>
          </w:p>
        </w:tc>
        <w:tc>
          <w:tcPr>
            <w:tcW w:type="dxa" w:w="1296"/>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1</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La prioridad y la iteración orientan el orden de implementación según el valor entregado al usuario.</w:t>
      </w:r>
    </w:p>
    <w:p>
      <w:pPr>
        <w:spacing w:line="480" w:lineRule="auto" w:after="0"/>
        <w:ind w:firstLine="720"/>
        <w:jc w:val="both"/>
      </w:pPr>
      <w:r>
        <w:rPr>
          <w:rFonts w:ascii="Times New Roman" w:hAnsi="Times New Roman" w:eastAsia="Times New Roman"/>
          <w:b w:val="0"/>
          <w:i w:val="0"/>
          <w:sz w:val="24"/>
        </w:rPr>
        <w:t>A continuación se presentan, en formato completo, las historias de usuario más representativas del sistema, con su descripción y criterios de aceptación.</w:t>
      </w:r>
    </w:p>
    <w:p>
      <w:pPr>
        <w:keepNext/>
        <w:spacing w:line="480" w:lineRule="auto" w:before="120"/>
      </w:pPr>
      <w:r>
        <w:rPr>
          <w:rFonts w:ascii="Times New Roman" w:hAnsi="Times New Roman" w:eastAsia="Times New Roman"/>
          <w:b/>
          <w:i w:val="0"/>
          <w:sz w:val="24"/>
        </w:rPr>
        <w:t>Tabla 5</w:t>
      </w:r>
    </w:p>
    <w:p>
      <w:pPr>
        <w:keepNext/>
        <w:spacing w:line="480" w:lineRule="auto"/>
      </w:pPr>
      <w:r>
        <w:rPr>
          <w:rFonts w:ascii="Times New Roman" w:hAnsi="Times New Roman" w:eastAsia="Times New Roman"/>
          <w:b w:val="0"/>
          <w:i/>
          <w:sz w:val="24"/>
        </w:rPr>
        <w:t>Historia de usuario HU-01: Iniciar sesión en el sistema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Pr>
          <w:p>
            <w:pPr>
              <w:spacing w:line="240" w:lineRule="auto" w:after="40" w:before="40"/>
              <w:jc w:val="left"/>
            </w:pPr>
            <w:r/>
            <w:r>
              <w:rPr>
                <w:rFonts w:ascii="Times New Roman" w:hAnsi="Times New Roman" w:eastAsia="Times New Roman"/>
                <w:b/>
                <w:i w:val="0"/>
                <w:sz w:val="22"/>
              </w:rPr>
              <w:t>HU-01</w:t>
            </w:r>
          </w:p>
        </w:tc>
        <w:tc>
          <w:tcPr>
            <w:tcW w:type="dxa" w:w="2304"/>
            <w:gridSpan w:val="3"/>
            <w:vAlign w:val="center"/>
          </w:tcPr>
          <w:p>
            <w:pPr>
              <w:spacing w:line="240" w:lineRule="auto" w:after="40" w:before="40"/>
              <w:jc w:val="left"/>
            </w:pPr>
            <w:r/>
            <w:r>
              <w:rPr>
                <w:rFonts w:ascii="Times New Roman" w:hAnsi="Times New Roman" w:eastAsia="Times New Roman"/>
                <w:b/>
                <w:i w:val="0"/>
                <w:sz w:val="22"/>
              </w:rPr>
              <w:t>Iniciar sesión en el sistema</w:t>
            </w:r>
          </w:p>
        </w:tc>
      </w:tr>
      <w:tr>
        <w:tc>
          <w:tcPr>
            <w:tcW w:type="dxa" w:w="2304"/>
            <w:vAlign w:val="center"/>
          </w:tcPr>
          <w:p>
            <w:pPr>
              <w:spacing w:line="240" w:lineRule="auto" w:after="40" w:before="40"/>
              <w:jc w:val="left"/>
            </w:pPr>
            <w:r/>
            <w:r>
              <w:rPr>
                <w:rFonts w:ascii="Times New Roman" w:hAnsi="Times New Roman" w:eastAsia="Times New Roman"/>
                <w:b/>
                <w:i w:val="0"/>
                <w:sz w:val="22"/>
              </w:rPr>
              <w:t>Usuario:</w:t>
            </w:r>
          </w:p>
        </w:tc>
        <w:tc>
          <w:tcPr>
            <w:tcW w:type="dxa" w:w="2736"/>
            <w:vAlign w:val="center"/>
          </w:tcPr>
          <w:p>
            <w:pPr>
              <w:spacing w:line="240" w:lineRule="auto" w:after="40" w:before="40"/>
              <w:jc w:val="left"/>
            </w:pPr>
            <w:r/>
            <w:r>
              <w:rPr>
                <w:rFonts w:ascii="Times New Roman" w:hAnsi="Times New Roman" w:eastAsia="Times New Roman"/>
                <w:b w:val="0"/>
                <w:i w:val="0"/>
                <w:sz w:val="22"/>
              </w:rPr>
              <w:t>Gestante / Obstetra / Administrador</w:t>
            </w:r>
          </w:p>
        </w:tc>
        <w:tc>
          <w:tcPr>
            <w:tcW w:type="dxa" w:w="2016"/>
            <w:vAlign w:val="center"/>
          </w:tcPr>
          <w:p>
            <w:pPr>
              <w:spacing w:line="240" w:lineRule="auto" w:after="40" w:before="40"/>
              <w:jc w:val="left"/>
            </w:pPr>
            <w:r/>
            <w:r>
              <w:rPr>
                <w:rFonts w:ascii="Times New Roman" w:hAnsi="Times New Roman" w:eastAsia="Times New Roman"/>
                <w:b/>
                <w:i w:val="0"/>
                <w:sz w:val="22"/>
              </w:rPr>
              <w:t>Prioridad:</w:t>
            </w:r>
          </w:p>
        </w:tc>
        <w:tc>
          <w:tcPr>
            <w:tcW w:type="dxa" w:w="2304"/>
            <w:vAlign w:val="center"/>
          </w:tcPr>
          <w:p>
            <w:pPr>
              <w:spacing w:line="240" w:lineRule="auto" w:after="40" w:before="40"/>
              <w:jc w:val="left"/>
            </w:pPr>
            <w:r/>
            <w:r>
              <w:rPr>
                <w:rFonts w:ascii="Times New Roman" w:hAnsi="Times New Roman" w:eastAsia="Times New Roman"/>
                <w:b w:val="0"/>
                <w:i w:val="0"/>
                <w:sz w:val="22"/>
              </w:rPr>
              <w:t>Alta</w:t>
            </w:r>
          </w:p>
        </w:tc>
      </w:tr>
      <w:tr>
        <w:tc>
          <w:tcPr>
            <w:tcW w:type="dxa" w:w="2304"/>
            <w:vAlign w:val="center"/>
          </w:tcPr>
          <w:p>
            <w:pPr>
              <w:spacing w:line="240" w:lineRule="auto" w:after="40" w:before="40"/>
              <w:jc w:val="left"/>
            </w:pPr>
            <w:r/>
            <w:r>
              <w:rPr>
                <w:rFonts w:ascii="Times New Roman" w:hAnsi="Times New Roman" w:eastAsia="Times New Roman"/>
                <w:b/>
                <w:i w:val="0"/>
                <w:sz w:val="22"/>
              </w:rPr>
              <w:t>Puntos estimados:</w:t>
            </w:r>
          </w:p>
        </w:tc>
        <w:tc>
          <w:tcPr>
            <w:tcW w:type="dxa" w:w="2736"/>
            <w:vAlign w:val="center"/>
          </w:tcPr>
          <w:p>
            <w:pPr>
              <w:spacing w:line="240" w:lineRule="auto" w:after="40" w:before="40"/>
              <w:jc w:val="left"/>
            </w:pPr>
            <w:r/>
            <w:r>
              <w:rPr>
                <w:rFonts w:ascii="Times New Roman" w:hAnsi="Times New Roman" w:eastAsia="Times New Roman"/>
                <w:b w:val="0"/>
                <w:i w:val="0"/>
                <w:sz w:val="22"/>
              </w:rPr>
              <w:t>3 (aprox. 1 semana)</w:t>
            </w:r>
          </w:p>
        </w:tc>
        <w:tc>
          <w:tcPr>
            <w:tcW w:type="dxa" w:w="2016"/>
            <w:vAlign w:val="center"/>
          </w:tcPr>
          <w:p>
            <w:pPr>
              <w:spacing w:line="240" w:lineRule="auto" w:after="40" w:before="40"/>
              <w:jc w:val="left"/>
            </w:pPr>
            <w:r/>
            <w:r>
              <w:rPr>
                <w:rFonts w:ascii="Times New Roman" w:hAnsi="Times New Roman" w:eastAsia="Times New Roman"/>
                <w:b/>
                <w:i w:val="0"/>
                <w:sz w:val="22"/>
              </w:rPr>
              <w:t>Iteración:</w:t>
            </w:r>
          </w:p>
        </w:tc>
        <w:tc>
          <w:tcPr>
            <w:tcW w:type="dxa" w:w="2304"/>
            <w:vAlign w:val="center"/>
          </w:tcPr>
          <w:p>
            <w:pPr>
              <w:spacing w:line="240" w:lineRule="auto" w:after="40" w:before="40"/>
              <w:jc w:val="left"/>
            </w:pPr>
            <w:r/>
            <w:r>
              <w:rPr>
                <w:rFonts w:ascii="Times New Roman" w:hAnsi="Times New Roman" w:eastAsia="Times New Roman"/>
                <w:b w:val="0"/>
                <w:i w:val="0"/>
                <w:sz w:val="22"/>
              </w:rPr>
              <w:t>Iteración 1</w:t>
            </w:r>
          </w:p>
        </w:tc>
      </w:tr>
      <w:tr>
        <w:tc>
          <w:tcPr>
            <w:tcW w:type="dxa" w:w="2304"/>
            <w:gridSpan w:val="4"/>
          </w:tcPr>
          <w:p>
            <w:pPr>
              <w:spacing w:line="240" w:lineRule="auto"/>
              <w:jc w:val="both"/>
            </w:pPr>
            <w:r>
              <w:rPr>
                <w:rFonts w:ascii="Times New Roman" w:hAnsi="Times New Roman" w:eastAsia="Times New Roman"/>
                <w:b/>
                <w:i w:val="0"/>
                <w:sz w:val="22"/>
              </w:rPr>
              <w:t xml:space="preserve">Descripción: </w:t>
            </w:r>
            <w:r>
              <w:rPr>
                <w:rFonts w:ascii="Times New Roman" w:hAnsi="Times New Roman" w:eastAsia="Times New Roman"/>
                <w:b w:val="0"/>
                <w:i w:val="0"/>
                <w:sz w:val="22"/>
              </w:rPr>
              <w:t>Como usuario del sistema, quiero iniciar sesión con mi DNI y contraseña para acceder a las funcionalidades correspondientes a mi rol de forma segura.</w:t>
            </w:r>
          </w:p>
        </w:tc>
      </w:tr>
      <w:tr>
        <w:tc>
          <w:tcPr>
            <w:tcW w:type="dxa" w:w="2304"/>
            <w:gridSpan w:val="4"/>
          </w:tcPr>
          <w:p>
            <w:pPr>
              <w:spacing w:line="240" w:lineRule="auto"/>
            </w:pPr>
            <w:r>
              <w:rPr>
                <w:rFonts w:ascii="Times New Roman" w:hAnsi="Times New Roman" w:eastAsia="Times New Roman"/>
                <w:b/>
                <w:i w:val="0"/>
                <w:sz w:val="22"/>
              </w:rPr>
              <w:t>Criterios de aceptación:</w:t>
            </w:r>
          </w:p>
          <w:p>
            <w:pPr>
              <w:spacing w:line="240" w:lineRule="auto"/>
              <w:ind w:left="288"/>
            </w:pPr>
            <w:r>
              <w:rPr>
                <w:rFonts w:ascii="Times New Roman" w:hAnsi="Times New Roman" w:eastAsia="Times New Roman"/>
                <w:b w:val="0"/>
                <w:i w:val="0"/>
                <w:sz w:val="22"/>
              </w:rPr>
              <w:t>•  El sistema valida el formato del DNI y exige la contraseña.</w:t>
            </w:r>
          </w:p>
          <w:p>
            <w:pPr>
              <w:spacing w:line="240" w:lineRule="auto"/>
              <w:ind w:left="288"/>
            </w:pPr>
            <w:r>
              <w:rPr>
                <w:rFonts w:ascii="Times New Roman" w:hAnsi="Times New Roman" w:eastAsia="Times New Roman"/>
                <w:b w:val="0"/>
                <w:i w:val="0"/>
                <w:sz w:val="22"/>
              </w:rPr>
              <w:t>•  Las credenciales correctas devuelven un token de acceso y uno de refresco.</w:t>
            </w:r>
          </w:p>
          <w:p>
            <w:pPr>
              <w:spacing w:line="240" w:lineRule="auto"/>
              <w:ind w:left="288"/>
            </w:pPr>
            <w:r>
              <w:rPr>
                <w:rFonts w:ascii="Times New Roman" w:hAnsi="Times New Roman" w:eastAsia="Times New Roman"/>
                <w:b w:val="0"/>
                <w:i w:val="0"/>
                <w:sz w:val="22"/>
              </w:rPr>
              <w:t>•  Tras varios intentos fallidos, la cuenta se bloquea temporalmente.</w:t>
            </w:r>
          </w:p>
          <w:p>
            <w:pPr>
              <w:spacing w:line="240" w:lineRule="auto"/>
              <w:ind w:left="288"/>
            </w:pPr>
            <w:r>
              <w:rPr>
                <w:rFonts w:ascii="Times New Roman" w:hAnsi="Times New Roman" w:eastAsia="Times New Roman"/>
                <w:b w:val="0"/>
                <w:i w:val="0"/>
                <w:sz w:val="22"/>
              </w:rPr>
              <w:t>•  El mensaje de error es genérico para no revelar si el DNI existe.</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según el formato de historia de usuario de XP.</w:t>
      </w:r>
    </w:p>
    <w:p>
      <w:pPr>
        <w:keepNext/>
        <w:spacing w:line="480" w:lineRule="auto" w:before="120"/>
      </w:pPr>
      <w:r>
        <w:rPr>
          <w:rFonts w:ascii="Times New Roman" w:hAnsi="Times New Roman" w:eastAsia="Times New Roman"/>
          <w:b/>
          <w:i w:val="0"/>
          <w:sz w:val="24"/>
        </w:rPr>
        <w:t>Tabla 6</w:t>
      </w:r>
    </w:p>
    <w:p>
      <w:pPr>
        <w:keepNext/>
        <w:spacing w:line="480" w:lineRule="auto"/>
      </w:pPr>
      <w:r>
        <w:rPr>
          <w:rFonts w:ascii="Times New Roman" w:hAnsi="Times New Roman" w:eastAsia="Times New Roman"/>
          <w:b w:val="0"/>
          <w:i/>
          <w:sz w:val="24"/>
        </w:rPr>
        <w:t>Historia de usuario HU-03: Consultar el estado del embarazo y el nivel de riesgo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Pr>
          <w:p>
            <w:pPr>
              <w:spacing w:line="240" w:lineRule="auto" w:after="40" w:before="40"/>
              <w:jc w:val="left"/>
            </w:pPr>
            <w:r/>
            <w:r>
              <w:rPr>
                <w:rFonts w:ascii="Times New Roman" w:hAnsi="Times New Roman" w:eastAsia="Times New Roman"/>
                <w:b/>
                <w:i w:val="0"/>
                <w:sz w:val="22"/>
              </w:rPr>
              <w:t>HU-03</w:t>
            </w:r>
          </w:p>
        </w:tc>
        <w:tc>
          <w:tcPr>
            <w:tcW w:type="dxa" w:w="2304"/>
            <w:gridSpan w:val="3"/>
            <w:vAlign w:val="center"/>
          </w:tcPr>
          <w:p>
            <w:pPr>
              <w:spacing w:line="240" w:lineRule="auto" w:after="40" w:before="40"/>
              <w:jc w:val="left"/>
            </w:pPr>
            <w:r/>
            <w:r>
              <w:rPr>
                <w:rFonts w:ascii="Times New Roman" w:hAnsi="Times New Roman" w:eastAsia="Times New Roman"/>
                <w:b/>
                <w:i w:val="0"/>
                <w:sz w:val="22"/>
              </w:rPr>
              <w:t>Consultar el estado del embarazo y el nivel de riesgo</w:t>
            </w:r>
          </w:p>
        </w:tc>
      </w:tr>
      <w:tr>
        <w:tc>
          <w:tcPr>
            <w:tcW w:type="dxa" w:w="2304"/>
            <w:vAlign w:val="center"/>
          </w:tcPr>
          <w:p>
            <w:pPr>
              <w:spacing w:line="240" w:lineRule="auto" w:after="40" w:before="40"/>
              <w:jc w:val="left"/>
            </w:pPr>
            <w:r/>
            <w:r>
              <w:rPr>
                <w:rFonts w:ascii="Times New Roman" w:hAnsi="Times New Roman" w:eastAsia="Times New Roman"/>
                <w:b/>
                <w:i w:val="0"/>
                <w:sz w:val="22"/>
              </w:rPr>
              <w:t>Usuario:</w:t>
            </w:r>
          </w:p>
        </w:tc>
        <w:tc>
          <w:tcPr>
            <w:tcW w:type="dxa" w:w="2736"/>
            <w:vAlign w:val="center"/>
          </w:tcPr>
          <w:p>
            <w:pPr>
              <w:spacing w:line="240" w:lineRule="auto" w:after="40" w:before="40"/>
              <w:jc w:val="left"/>
            </w:pPr>
            <w:r/>
            <w:r>
              <w:rPr>
                <w:rFonts w:ascii="Times New Roman" w:hAnsi="Times New Roman" w:eastAsia="Times New Roman"/>
                <w:b w:val="0"/>
                <w:i w:val="0"/>
                <w:sz w:val="22"/>
              </w:rPr>
              <w:t>Gestante</w:t>
            </w:r>
          </w:p>
        </w:tc>
        <w:tc>
          <w:tcPr>
            <w:tcW w:type="dxa" w:w="2016"/>
            <w:vAlign w:val="center"/>
          </w:tcPr>
          <w:p>
            <w:pPr>
              <w:spacing w:line="240" w:lineRule="auto" w:after="40" w:before="40"/>
              <w:jc w:val="left"/>
            </w:pPr>
            <w:r/>
            <w:r>
              <w:rPr>
                <w:rFonts w:ascii="Times New Roman" w:hAnsi="Times New Roman" w:eastAsia="Times New Roman"/>
                <w:b/>
                <w:i w:val="0"/>
                <w:sz w:val="22"/>
              </w:rPr>
              <w:t>Prioridad:</w:t>
            </w:r>
          </w:p>
        </w:tc>
        <w:tc>
          <w:tcPr>
            <w:tcW w:type="dxa" w:w="2304"/>
            <w:vAlign w:val="center"/>
          </w:tcPr>
          <w:p>
            <w:pPr>
              <w:spacing w:line="240" w:lineRule="auto" w:after="40" w:before="40"/>
              <w:jc w:val="left"/>
            </w:pPr>
            <w:r/>
            <w:r>
              <w:rPr>
                <w:rFonts w:ascii="Times New Roman" w:hAnsi="Times New Roman" w:eastAsia="Times New Roman"/>
                <w:b w:val="0"/>
                <w:i w:val="0"/>
                <w:sz w:val="22"/>
              </w:rPr>
              <w:t>Alta</w:t>
            </w:r>
          </w:p>
        </w:tc>
      </w:tr>
      <w:tr>
        <w:tc>
          <w:tcPr>
            <w:tcW w:type="dxa" w:w="2304"/>
            <w:vAlign w:val="center"/>
          </w:tcPr>
          <w:p>
            <w:pPr>
              <w:spacing w:line="240" w:lineRule="auto" w:after="40" w:before="40"/>
              <w:jc w:val="left"/>
            </w:pPr>
            <w:r/>
            <w:r>
              <w:rPr>
                <w:rFonts w:ascii="Times New Roman" w:hAnsi="Times New Roman" w:eastAsia="Times New Roman"/>
                <w:b/>
                <w:i w:val="0"/>
                <w:sz w:val="22"/>
              </w:rPr>
              <w:t>Puntos estimados:</w:t>
            </w:r>
          </w:p>
        </w:tc>
        <w:tc>
          <w:tcPr>
            <w:tcW w:type="dxa" w:w="2736"/>
            <w:vAlign w:val="center"/>
          </w:tcPr>
          <w:p>
            <w:pPr>
              <w:spacing w:line="240" w:lineRule="auto" w:after="40" w:before="40"/>
              <w:jc w:val="left"/>
            </w:pPr>
            <w:r/>
            <w:r>
              <w:rPr>
                <w:rFonts w:ascii="Times New Roman" w:hAnsi="Times New Roman" w:eastAsia="Times New Roman"/>
                <w:b w:val="0"/>
                <w:i w:val="0"/>
                <w:sz w:val="22"/>
              </w:rPr>
              <w:t>5 (aprox. 2 semanas)</w:t>
            </w:r>
          </w:p>
        </w:tc>
        <w:tc>
          <w:tcPr>
            <w:tcW w:type="dxa" w:w="2016"/>
            <w:vAlign w:val="center"/>
          </w:tcPr>
          <w:p>
            <w:pPr>
              <w:spacing w:line="240" w:lineRule="auto" w:after="40" w:before="40"/>
              <w:jc w:val="left"/>
            </w:pPr>
            <w:r/>
            <w:r>
              <w:rPr>
                <w:rFonts w:ascii="Times New Roman" w:hAnsi="Times New Roman" w:eastAsia="Times New Roman"/>
                <w:b/>
                <w:i w:val="0"/>
                <w:sz w:val="22"/>
              </w:rPr>
              <w:t>Iteración:</w:t>
            </w:r>
          </w:p>
        </w:tc>
        <w:tc>
          <w:tcPr>
            <w:tcW w:type="dxa" w:w="2304"/>
            <w:vAlign w:val="center"/>
          </w:tcPr>
          <w:p>
            <w:pPr>
              <w:spacing w:line="240" w:lineRule="auto" w:after="40" w:before="40"/>
              <w:jc w:val="left"/>
            </w:pPr>
            <w:r/>
            <w:r>
              <w:rPr>
                <w:rFonts w:ascii="Times New Roman" w:hAnsi="Times New Roman" w:eastAsia="Times New Roman"/>
                <w:b w:val="0"/>
                <w:i w:val="0"/>
                <w:sz w:val="22"/>
              </w:rPr>
              <w:t>Iteración 2</w:t>
            </w:r>
          </w:p>
        </w:tc>
      </w:tr>
      <w:tr>
        <w:tc>
          <w:tcPr>
            <w:tcW w:type="dxa" w:w="2304"/>
            <w:gridSpan w:val="4"/>
          </w:tcPr>
          <w:p>
            <w:pPr>
              <w:spacing w:line="240" w:lineRule="auto"/>
              <w:jc w:val="both"/>
            </w:pPr>
            <w:r>
              <w:rPr>
                <w:rFonts w:ascii="Times New Roman" w:hAnsi="Times New Roman" w:eastAsia="Times New Roman"/>
                <w:b/>
                <w:i w:val="0"/>
                <w:sz w:val="22"/>
              </w:rPr>
              <w:t xml:space="preserve">Descripción: </w:t>
            </w:r>
            <w:r>
              <w:rPr>
                <w:rFonts w:ascii="Times New Roman" w:hAnsi="Times New Roman" w:eastAsia="Times New Roman"/>
                <w:b w:val="0"/>
                <w:i w:val="0"/>
                <w:sz w:val="22"/>
              </w:rPr>
              <w:t>Como gestante, quiero visualizar mi edad gestacional, mi fecha probable de parto y mi nivel de riesgo para conocer el estado de mi embarazo de forma clara y oportuna.</w:t>
            </w:r>
          </w:p>
        </w:tc>
      </w:tr>
      <w:tr>
        <w:tc>
          <w:tcPr>
            <w:tcW w:type="dxa" w:w="2304"/>
            <w:gridSpan w:val="4"/>
          </w:tcPr>
          <w:p>
            <w:pPr>
              <w:spacing w:line="240" w:lineRule="auto"/>
            </w:pPr>
            <w:r>
              <w:rPr>
                <w:rFonts w:ascii="Times New Roman" w:hAnsi="Times New Roman" w:eastAsia="Times New Roman"/>
                <w:b/>
                <w:i w:val="0"/>
                <w:sz w:val="22"/>
              </w:rPr>
              <w:t>Criterios de aceptación:</w:t>
            </w:r>
          </w:p>
          <w:p>
            <w:pPr>
              <w:spacing w:line="240" w:lineRule="auto"/>
              <w:ind w:left="288"/>
            </w:pPr>
            <w:r>
              <w:rPr>
                <w:rFonts w:ascii="Times New Roman" w:hAnsi="Times New Roman" w:eastAsia="Times New Roman"/>
                <w:b w:val="0"/>
                <w:i w:val="0"/>
                <w:sz w:val="22"/>
              </w:rPr>
              <w:t>•  El sistema muestra la edad gestacional y la fecha probable de parto calculadas en el servidor.</w:t>
            </w:r>
          </w:p>
          <w:p>
            <w:pPr>
              <w:spacing w:line="240" w:lineRule="auto"/>
              <w:ind w:left="288"/>
            </w:pPr>
            <w:r>
              <w:rPr>
                <w:rFonts w:ascii="Times New Roman" w:hAnsi="Times New Roman" w:eastAsia="Times New Roman"/>
                <w:b w:val="0"/>
                <w:i w:val="0"/>
                <w:sz w:val="22"/>
              </w:rPr>
              <w:t>•  El nivel de riesgo se presenta como un semáforo (verde, amarillo o rojo).</w:t>
            </w:r>
          </w:p>
          <w:p>
            <w:pPr>
              <w:spacing w:line="240" w:lineRule="auto"/>
              <w:ind w:left="288"/>
            </w:pPr>
            <w:r>
              <w:rPr>
                <w:rFonts w:ascii="Times New Roman" w:hAnsi="Times New Roman" w:eastAsia="Times New Roman"/>
                <w:b w:val="0"/>
                <w:i w:val="0"/>
                <w:sz w:val="22"/>
              </w:rPr>
              <w:t>•  Se muestra la próxima cita programada y la adherencia al tratamiento.</w:t>
            </w:r>
          </w:p>
          <w:p>
            <w:pPr>
              <w:spacing w:line="240" w:lineRule="auto"/>
              <w:ind w:left="288"/>
            </w:pPr>
            <w:r>
              <w:rPr>
                <w:rFonts w:ascii="Times New Roman" w:hAnsi="Times New Roman" w:eastAsia="Times New Roman"/>
                <w:b w:val="0"/>
                <w:i w:val="0"/>
                <w:sz w:val="22"/>
              </w:rPr>
              <w:t>•  La información se actualiza automáticamente tras cada control prenatal.</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según el formato de historia de usuario de XP.</w:t>
      </w:r>
    </w:p>
    <w:p>
      <w:pPr>
        <w:keepNext/>
        <w:spacing w:line="480" w:lineRule="auto" w:before="120"/>
      </w:pPr>
      <w:r>
        <w:rPr>
          <w:rFonts w:ascii="Times New Roman" w:hAnsi="Times New Roman" w:eastAsia="Times New Roman"/>
          <w:b/>
          <w:i w:val="0"/>
          <w:sz w:val="24"/>
        </w:rPr>
        <w:t>Tabla 7</w:t>
      </w:r>
    </w:p>
    <w:p>
      <w:pPr>
        <w:keepNext/>
        <w:spacing w:line="480" w:lineRule="auto"/>
      </w:pPr>
      <w:r>
        <w:rPr>
          <w:rFonts w:ascii="Times New Roman" w:hAnsi="Times New Roman" w:eastAsia="Times New Roman"/>
          <w:b w:val="0"/>
          <w:i/>
          <w:sz w:val="24"/>
        </w:rPr>
        <w:t>Historia de usuario HU-07: Registrar la toma diaria de suplementos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Pr>
          <w:p>
            <w:pPr>
              <w:spacing w:line="240" w:lineRule="auto" w:after="40" w:before="40"/>
              <w:jc w:val="left"/>
            </w:pPr>
            <w:r/>
            <w:r>
              <w:rPr>
                <w:rFonts w:ascii="Times New Roman" w:hAnsi="Times New Roman" w:eastAsia="Times New Roman"/>
                <w:b/>
                <w:i w:val="0"/>
                <w:sz w:val="22"/>
              </w:rPr>
              <w:t>HU-07</w:t>
            </w:r>
          </w:p>
        </w:tc>
        <w:tc>
          <w:tcPr>
            <w:tcW w:type="dxa" w:w="2304"/>
            <w:gridSpan w:val="3"/>
            <w:vAlign w:val="center"/>
          </w:tcPr>
          <w:p>
            <w:pPr>
              <w:spacing w:line="240" w:lineRule="auto" w:after="40" w:before="40"/>
              <w:jc w:val="left"/>
            </w:pPr>
            <w:r/>
            <w:r>
              <w:rPr>
                <w:rFonts w:ascii="Times New Roman" w:hAnsi="Times New Roman" w:eastAsia="Times New Roman"/>
                <w:b/>
                <w:i w:val="0"/>
                <w:sz w:val="22"/>
              </w:rPr>
              <w:t>Registrar la toma diaria de suplementos</w:t>
            </w:r>
          </w:p>
        </w:tc>
      </w:tr>
      <w:tr>
        <w:tc>
          <w:tcPr>
            <w:tcW w:type="dxa" w:w="2304"/>
            <w:vAlign w:val="center"/>
          </w:tcPr>
          <w:p>
            <w:pPr>
              <w:spacing w:line="240" w:lineRule="auto" w:after="40" w:before="40"/>
              <w:jc w:val="left"/>
            </w:pPr>
            <w:r/>
            <w:r>
              <w:rPr>
                <w:rFonts w:ascii="Times New Roman" w:hAnsi="Times New Roman" w:eastAsia="Times New Roman"/>
                <w:b/>
                <w:i w:val="0"/>
                <w:sz w:val="22"/>
              </w:rPr>
              <w:t>Usuario:</w:t>
            </w:r>
          </w:p>
        </w:tc>
        <w:tc>
          <w:tcPr>
            <w:tcW w:type="dxa" w:w="2736"/>
            <w:vAlign w:val="center"/>
          </w:tcPr>
          <w:p>
            <w:pPr>
              <w:spacing w:line="240" w:lineRule="auto" w:after="40" w:before="40"/>
              <w:jc w:val="left"/>
            </w:pPr>
            <w:r/>
            <w:r>
              <w:rPr>
                <w:rFonts w:ascii="Times New Roman" w:hAnsi="Times New Roman" w:eastAsia="Times New Roman"/>
                <w:b w:val="0"/>
                <w:i w:val="0"/>
                <w:sz w:val="22"/>
              </w:rPr>
              <w:t>Gestante</w:t>
            </w:r>
          </w:p>
        </w:tc>
        <w:tc>
          <w:tcPr>
            <w:tcW w:type="dxa" w:w="2016"/>
            <w:vAlign w:val="center"/>
          </w:tcPr>
          <w:p>
            <w:pPr>
              <w:spacing w:line="240" w:lineRule="auto" w:after="40" w:before="40"/>
              <w:jc w:val="left"/>
            </w:pPr>
            <w:r/>
            <w:r>
              <w:rPr>
                <w:rFonts w:ascii="Times New Roman" w:hAnsi="Times New Roman" w:eastAsia="Times New Roman"/>
                <w:b/>
                <w:i w:val="0"/>
                <w:sz w:val="22"/>
              </w:rPr>
              <w:t>Prioridad:</w:t>
            </w:r>
          </w:p>
        </w:tc>
        <w:tc>
          <w:tcPr>
            <w:tcW w:type="dxa" w:w="2304"/>
            <w:vAlign w:val="center"/>
          </w:tcPr>
          <w:p>
            <w:pPr>
              <w:spacing w:line="240" w:lineRule="auto" w:after="40" w:before="40"/>
              <w:jc w:val="left"/>
            </w:pPr>
            <w:r/>
            <w:r>
              <w:rPr>
                <w:rFonts w:ascii="Times New Roman" w:hAnsi="Times New Roman" w:eastAsia="Times New Roman"/>
                <w:b w:val="0"/>
                <w:i w:val="0"/>
                <w:sz w:val="22"/>
              </w:rPr>
              <w:t>Alta</w:t>
            </w:r>
          </w:p>
        </w:tc>
      </w:tr>
      <w:tr>
        <w:tc>
          <w:tcPr>
            <w:tcW w:type="dxa" w:w="2304"/>
            <w:vAlign w:val="center"/>
          </w:tcPr>
          <w:p>
            <w:pPr>
              <w:spacing w:line="240" w:lineRule="auto" w:after="40" w:before="40"/>
              <w:jc w:val="left"/>
            </w:pPr>
            <w:r/>
            <w:r>
              <w:rPr>
                <w:rFonts w:ascii="Times New Roman" w:hAnsi="Times New Roman" w:eastAsia="Times New Roman"/>
                <w:b/>
                <w:i w:val="0"/>
                <w:sz w:val="22"/>
              </w:rPr>
              <w:t>Puntos estimados:</w:t>
            </w:r>
          </w:p>
        </w:tc>
        <w:tc>
          <w:tcPr>
            <w:tcW w:type="dxa" w:w="2736"/>
            <w:vAlign w:val="center"/>
          </w:tcPr>
          <w:p>
            <w:pPr>
              <w:spacing w:line="240" w:lineRule="auto" w:after="40" w:before="40"/>
              <w:jc w:val="left"/>
            </w:pPr>
            <w:r/>
            <w:r>
              <w:rPr>
                <w:rFonts w:ascii="Times New Roman" w:hAnsi="Times New Roman" w:eastAsia="Times New Roman"/>
                <w:b w:val="0"/>
                <w:i w:val="0"/>
                <w:sz w:val="22"/>
              </w:rPr>
              <w:t>5 (aprox. 2 semanas)</w:t>
            </w:r>
          </w:p>
        </w:tc>
        <w:tc>
          <w:tcPr>
            <w:tcW w:type="dxa" w:w="2016"/>
            <w:vAlign w:val="center"/>
          </w:tcPr>
          <w:p>
            <w:pPr>
              <w:spacing w:line="240" w:lineRule="auto" w:after="40" w:before="40"/>
              <w:jc w:val="left"/>
            </w:pPr>
            <w:r/>
            <w:r>
              <w:rPr>
                <w:rFonts w:ascii="Times New Roman" w:hAnsi="Times New Roman" w:eastAsia="Times New Roman"/>
                <w:b/>
                <w:i w:val="0"/>
                <w:sz w:val="22"/>
              </w:rPr>
              <w:t>Iteración:</w:t>
            </w:r>
          </w:p>
        </w:tc>
        <w:tc>
          <w:tcPr>
            <w:tcW w:type="dxa" w:w="2304"/>
            <w:vAlign w:val="center"/>
          </w:tcPr>
          <w:p>
            <w:pPr>
              <w:spacing w:line="240" w:lineRule="auto" w:after="40" w:before="40"/>
              <w:jc w:val="left"/>
            </w:pPr>
            <w:r/>
            <w:r>
              <w:rPr>
                <w:rFonts w:ascii="Times New Roman" w:hAnsi="Times New Roman" w:eastAsia="Times New Roman"/>
                <w:b w:val="0"/>
                <w:i w:val="0"/>
                <w:sz w:val="22"/>
              </w:rPr>
              <w:t>Iteración 3</w:t>
            </w:r>
          </w:p>
        </w:tc>
      </w:tr>
      <w:tr>
        <w:tc>
          <w:tcPr>
            <w:tcW w:type="dxa" w:w="2304"/>
            <w:gridSpan w:val="4"/>
          </w:tcPr>
          <w:p>
            <w:pPr>
              <w:spacing w:line="240" w:lineRule="auto"/>
              <w:jc w:val="both"/>
            </w:pPr>
            <w:r>
              <w:rPr>
                <w:rFonts w:ascii="Times New Roman" w:hAnsi="Times New Roman" w:eastAsia="Times New Roman"/>
                <w:b/>
                <w:i w:val="0"/>
                <w:sz w:val="22"/>
              </w:rPr>
              <w:t xml:space="preserve">Descripción: </w:t>
            </w:r>
            <w:r>
              <w:rPr>
                <w:rFonts w:ascii="Times New Roman" w:hAnsi="Times New Roman" w:eastAsia="Times New Roman"/>
                <w:b w:val="0"/>
                <w:i w:val="0"/>
                <w:sz w:val="22"/>
              </w:rPr>
              <w:t>Como gestante que vive en una zona con conexión intermitente, quiero marcar cada día la toma de mis suplementos de hierro y ácido fólico, aun sin internet, para que mi obstetra conozca mi adherencia real al tratamiento.</w:t>
            </w:r>
          </w:p>
        </w:tc>
      </w:tr>
      <w:tr>
        <w:tc>
          <w:tcPr>
            <w:tcW w:type="dxa" w:w="2304"/>
            <w:gridSpan w:val="4"/>
          </w:tcPr>
          <w:p>
            <w:pPr>
              <w:spacing w:line="240" w:lineRule="auto"/>
            </w:pPr>
            <w:r>
              <w:rPr>
                <w:rFonts w:ascii="Times New Roman" w:hAnsi="Times New Roman" w:eastAsia="Times New Roman"/>
                <w:b/>
                <w:i w:val="0"/>
                <w:sz w:val="22"/>
              </w:rPr>
              <w:t>Criterios de aceptación:</w:t>
            </w:r>
          </w:p>
          <w:p>
            <w:pPr>
              <w:spacing w:line="240" w:lineRule="auto"/>
              <w:ind w:left="288"/>
            </w:pPr>
            <w:r>
              <w:rPr>
                <w:rFonts w:ascii="Times New Roman" w:hAnsi="Times New Roman" w:eastAsia="Times New Roman"/>
                <w:b w:val="0"/>
                <w:i w:val="0"/>
                <w:sz w:val="22"/>
              </w:rPr>
              <w:t>•  El registro puede realizarse sin conexión y se encola localmente.</w:t>
            </w:r>
          </w:p>
          <w:p>
            <w:pPr>
              <w:spacing w:line="240" w:lineRule="auto"/>
              <w:ind w:left="288"/>
            </w:pPr>
            <w:r>
              <w:rPr>
                <w:rFonts w:ascii="Times New Roman" w:hAnsi="Times New Roman" w:eastAsia="Times New Roman"/>
                <w:b w:val="0"/>
                <w:i w:val="0"/>
                <w:sz w:val="22"/>
              </w:rPr>
              <w:t>•  Al recuperar la conexión, la sincronización se ejecuta automáticamente.</w:t>
            </w:r>
          </w:p>
          <w:p>
            <w:pPr>
              <w:spacing w:line="240" w:lineRule="auto"/>
              <w:ind w:left="288"/>
            </w:pPr>
            <w:r>
              <w:rPr>
                <w:rFonts w:ascii="Times New Roman" w:hAnsi="Times New Roman" w:eastAsia="Times New Roman"/>
                <w:b w:val="0"/>
                <w:i w:val="0"/>
                <w:sz w:val="22"/>
              </w:rPr>
              <w:t>•  El sistema no duplica un registro reenviado gracias a la idempotencia.</w:t>
            </w:r>
          </w:p>
          <w:p>
            <w:pPr>
              <w:spacing w:line="240" w:lineRule="auto"/>
              <w:ind w:left="288"/>
            </w:pPr>
            <w:r>
              <w:rPr>
                <w:rFonts w:ascii="Times New Roman" w:hAnsi="Times New Roman" w:eastAsia="Times New Roman"/>
                <w:b w:val="0"/>
                <w:i w:val="0"/>
                <w:sz w:val="22"/>
              </w:rPr>
              <w:t>•  La adherencia se calcula en el servidor con una fórmula única.</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según el formato de historia de usuario de XP.</w:t>
      </w:r>
    </w:p>
    <w:p>
      <w:pPr>
        <w:keepNext/>
        <w:spacing w:line="480" w:lineRule="auto" w:before="120"/>
      </w:pPr>
      <w:r>
        <w:rPr>
          <w:rFonts w:ascii="Times New Roman" w:hAnsi="Times New Roman" w:eastAsia="Times New Roman"/>
          <w:b/>
          <w:i w:val="0"/>
          <w:sz w:val="24"/>
        </w:rPr>
        <w:t>Tabla 8</w:t>
      </w:r>
    </w:p>
    <w:p>
      <w:pPr>
        <w:keepNext/>
        <w:spacing w:line="480" w:lineRule="auto"/>
      </w:pPr>
      <w:r>
        <w:rPr>
          <w:rFonts w:ascii="Times New Roman" w:hAnsi="Times New Roman" w:eastAsia="Times New Roman"/>
          <w:b w:val="0"/>
          <w:i/>
          <w:sz w:val="24"/>
        </w:rPr>
        <w:t>Historia de usuario HU-08: Reportar un signo de alarma con geolocalización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Pr>
          <w:p>
            <w:pPr>
              <w:spacing w:line="240" w:lineRule="auto" w:after="40" w:before="40"/>
              <w:jc w:val="left"/>
            </w:pPr>
            <w:r/>
            <w:r>
              <w:rPr>
                <w:rFonts w:ascii="Times New Roman" w:hAnsi="Times New Roman" w:eastAsia="Times New Roman"/>
                <w:b/>
                <w:i w:val="0"/>
                <w:sz w:val="22"/>
              </w:rPr>
              <w:t>HU-08</w:t>
            </w:r>
          </w:p>
        </w:tc>
        <w:tc>
          <w:tcPr>
            <w:tcW w:type="dxa" w:w="2304"/>
            <w:gridSpan w:val="3"/>
            <w:vAlign w:val="center"/>
          </w:tcPr>
          <w:p>
            <w:pPr>
              <w:spacing w:line="240" w:lineRule="auto" w:after="40" w:before="40"/>
              <w:jc w:val="left"/>
            </w:pPr>
            <w:r/>
            <w:r>
              <w:rPr>
                <w:rFonts w:ascii="Times New Roman" w:hAnsi="Times New Roman" w:eastAsia="Times New Roman"/>
                <w:b/>
                <w:i w:val="0"/>
                <w:sz w:val="22"/>
              </w:rPr>
              <w:t>Reportar un signo de alarma con geolocalización</w:t>
            </w:r>
          </w:p>
        </w:tc>
      </w:tr>
      <w:tr>
        <w:tc>
          <w:tcPr>
            <w:tcW w:type="dxa" w:w="2304"/>
            <w:vAlign w:val="center"/>
          </w:tcPr>
          <w:p>
            <w:pPr>
              <w:spacing w:line="240" w:lineRule="auto" w:after="40" w:before="40"/>
              <w:jc w:val="left"/>
            </w:pPr>
            <w:r/>
            <w:r>
              <w:rPr>
                <w:rFonts w:ascii="Times New Roman" w:hAnsi="Times New Roman" w:eastAsia="Times New Roman"/>
                <w:b/>
                <w:i w:val="0"/>
                <w:sz w:val="22"/>
              </w:rPr>
              <w:t>Usuario:</w:t>
            </w:r>
          </w:p>
        </w:tc>
        <w:tc>
          <w:tcPr>
            <w:tcW w:type="dxa" w:w="2736"/>
            <w:vAlign w:val="center"/>
          </w:tcPr>
          <w:p>
            <w:pPr>
              <w:spacing w:line="240" w:lineRule="auto" w:after="40" w:before="40"/>
              <w:jc w:val="left"/>
            </w:pPr>
            <w:r/>
            <w:r>
              <w:rPr>
                <w:rFonts w:ascii="Times New Roman" w:hAnsi="Times New Roman" w:eastAsia="Times New Roman"/>
                <w:b w:val="0"/>
                <w:i w:val="0"/>
                <w:sz w:val="22"/>
              </w:rPr>
              <w:t>Gestante</w:t>
            </w:r>
          </w:p>
        </w:tc>
        <w:tc>
          <w:tcPr>
            <w:tcW w:type="dxa" w:w="2016"/>
            <w:vAlign w:val="center"/>
          </w:tcPr>
          <w:p>
            <w:pPr>
              <w:spacing w:line="240" w:lineRule="auto" w:after="40" w:before="40"/>
              <w:jc w:val="left"/>
            </w:pPr>
            <w:r/>
            <w:r>
              <w:rPr>
                <w:rFonts w:ascii="Times New Roman" w:hAnsi="Times New Roman" w:eastAsia="Times New Roman"/>
                <w:b/>
                <w:i w:val="0"/>
                <w:sz w:val="22"/>
              </w:rPr>
              <w:t>Prioridad:</w:t>
            </w:r>
          </w:p>
        </w:tc>
        <w:tc>
          <w:tcPr>
            <w:tcW w:type="dxa" w:w="2304"/>
            <w:vAlign w:val="center"/>
          </w:tcPr>
          <w:p>
            <w:pPr>
              <w:spacing w:line="240" w:lineRule="auto" w:after="40" w:before="40"/>
              <w:jc w:val="left"/>
            </w:pPr>
            <w:r/>
            <w:r>
              <w:rPr>
                <w:rFonts w:ascii="Times New Roman" w:hAnsi="Times New Roman" w:eastAsia="Times New Roman"/>
                <w:b w:val="0"/>
                <w:i w:val="0"/>
                <w:sz w:val="22"/>
              </w:rPr>
              <w:t>Alta</w:t>
            </w:r>
          </w:p>
        </w:tc>
      </w:tr>
      <w:tr>
        <w:tc>
          <w:tcPr>
            <w:tcW w:type="dxa" w:w="2304"/>
            <w:vAlign w:val="center"/>
          </w:tcPr>
          <w:p>
            <w:pPr>
              <w:spacing w:line="240" w:lineRule="auto" w:after="40" w:before="40"/>
              <w:jc w:val="left"/>
            </w:pPr>
            <w:r/>
            <w:r>
              <w:rPr>
                <w:rFonts w:ascii="Times New Roman" w:hAnsi="Times New Roman" w:eastAsia="Times New Roman"/>
                <w:b/>
                <w:i w:val="0"/>
                <w:sz w:val="22"/>
              </w:rPr>
              <w:t>Puntos estimados:</w:t>
            </w:r>
          </w:p>
        </w:tc>
        <w:tc>
          <w:tcPr>
            <w:tcW w:type="dxa" w:w="2736"/>
            <w:vAlign w:val="center"/>
          </w:tcPr>
          <w:p>
            <w:pPr>
              <w:spacing w:line="240" w:lineRule="auto" w:after="40" w:before="40"/>
              <w:jc w:val="left"/>
            </w:pPr>
            <w:r/>
            <w:r>
              <w:rPr>
                <w:rFonts w:ascii="Times New Roman" w:hAnsi="Times New Roman" w:eastAsia="Times New Roman"/>
                <w:b w:val="0"/>
                <w:i w:val="0"/>
                <w:sz w:val="22"/>
              </w:rPr>
              <w:t>3 (aprox. 1 semana)</w:t>
            </w:r>
          </w:p>
        </w:tc>
        <w:tc>
          <w:tcPr>
            <w:tcW w:type="dxa" w:w="2016"/>
            <w:vAlign w:val="center"/>
          </w:tcPr>
          <w:p>
            <w:pPr>
              <w:spacing w:line="240" w:lineRule="auto" w:after="40" w:before="40"/>
              <w:jc w:val="left"/>
            </w:pPr>
            <w:r/>
            <w:r>
              <w:rPr>
                <w:rFonts w:ascii="Times New Roman" w:hAnsi="Times New Roman" w:eastAsia="Times New Roman"/>
                <w:b/>
                <w:i w:val="0"/>
                <w:sz w:val="22"/>
              </w:rPr>
              <w:t>Iteración:</w:t>
            </w:r>
          </w:p>
        </w:tc>
        <w:tc>
          <w:tcPr>
            <w:tcW w:type="dxa" w:w="2304"/>
            <w:vAlign w:val="center"/>
          </w:tcPr>
          <w:p>
            <w:pPr>
              <w:spacing w:line="240" w:lineRule="auto" w:after="40" w:before="40"/>
              <w:jc w:val="left"/>
            </w:pPr>
            <w:r/>
            <w:r>
              <w:rPr>
                <w:rFonts w:ascii="Times New Roman" w:hAnsi="Times New Roman" w:eastAsia="Times New Roman"/>
                <w:b w:val="0"/>
                <w:i w:val="0"/>
                <w:sz w:val="22"/>
              </w:rPr>
              <w:t>Iteración 4</w:t>
            </w:r>
          </w:p>
        </w:tc>
      </w:tr>
      <w:tr>
        <w:tc>
          <w:tcPr>
            <w:tcW w:type="dxa" w:w="2304"/>
            <w:gridSpan w:val="4"/>
          </w:tcPr>
          <w:p>
            <w:pPr>
              <w:spacing w:line="240" w:lineRule="auto"/>
              <w:jc w:val="both"/>
            </w:pPr>
            <w:r>
              <w:rPr>
                <w:rFonts w:ascii="Times New Roman" w:hAnsi="Times New Roman" w:eastAsia="Times New Roman"/>
                <w:b/>
                <w:i w:val="0"/>
                <w:sz w:val="22"/>
              </w:rPr>
              <w:t xml:space="preserve">Descripción: </w:t>
            </w:r>
            <w:r>
              <w:rPr>
                <w:rFonts w:ascii="Times New Roman" w:hAnsi="Times New Roman" w:eastAsia="Times New Roman"/>
                <w:b w:val="0"/>
                <w:i w:val="0"/>
                <w:sz w:val="22"/>
              </w:rPr>
              <w:t>Como gestante, quiero reportar un signo de alarma indicando su tipo y severidad junto con mi ubicación para que mi obstetra reciba una alerta inmediata y pueda actuar oportunamente.</w:t>
            </w:r>
          </w:p>
        </w:tc>
      </w:tr>
      <w:tr>
        <w:tc>
          <w:tcPr>
            <w:tcW w:type="dxa" w:w="2304"/>
            <w:gridSpan w:val="4"/>
          </w:tcPr>
          <w:p>
            <w:pPr>
              <w:spacing w:line="240" w:lineRule="auto"/>
            </w:pPr>
            <w:r>
              <w:rPr>
                <w:rFonts w:ascii="Times New Roman" w:hAnsi="Times New Roman" w:eastAsia="Times New Roman"/>
                <w:b/>
                <w:i w:val="0"/>
                <w:sz w:val="22"/>
              </w:rPr>
              <w:t>Criterios de aceptación:</w:t>
            </w:r>
          </w:p>
          <w:p>
            <w:pPr>
              <w:spacing w:line="240" w:lineRule="auto"/>
              <w:ind w:left="288"/>
            </w:pPr>
            <w:r>
              <w:rPr>
                <w:rFonts w:ascii="Times New Roman" w:hAnsi="Times New Roman" w:eastAsia="Times New Roman"/>
                <w:b w:val="0"/>
                <w:i w:val="0"/>
                <w:sz w:val="22"/>
              </w:rPr>
              <w:t>•  El reporte incluye el tipo de signo, su severidad y la ubicación GPS opcional.</w:t>
            </w:r>
          </w:p>
          <w:p>
            <w:pPr>
              <w:spacing w:line="240" w:lineRule="auto"/>
              <w:ind w:left="288"/>
            </w:pPr>
            <w:r>
              <w:rPr>
                <w:rFonts w:ascii="Times New Roman" w:hAnsi="Times New Roman" w:eastAsia="Times New Roman"/>
                <w:b w:val="0"/>
                <w:i w:val="0"/>
                <w:sz w:val="22"/>
              </w:rPr>
              <w:t>•  El sistema genera una notificación automática al obstetra responsable.</w:t>
            </w:r>
          </w:p>
          <w:p>
            <w:pPr>
              <w:spacing w:line="240" w:lineRule="auto"/>
              <w:ind w:left="288"/>
            </w:pPr>
            <w:r>
              <w:rPr>
                <w:rFonts w:ascii="Times New Roman" w:hAnsi="Times New Roman" w:eastAsia="Times New Roman"/>
                <w:b w:val="0"/>
                <w:i w:val="0"/>
                <w:sz w:val="22"/>
              </w:rPr>
              <w:t>•  En los casos graves se inserta un mensaje automático en el chat clínico.</w:t>
            </w:r>
          </w:p>
          <w:p>
            <w:pPr>
              <w:spacing w:line="240" w:lineRule="auto"/>
              <w:ind w:left="288"/>
            </w:pPr>
            <w:r>
              <w:rPr>
                <w:rFonts w:ascii="Times New Roman" w:hAnsi="Times New Roman" w:eastAsia="Times New Roman"/>
                <w:b w:val="0"/>
                <w:i w:val="0"/>
                <w:sz w:val="22"/>
              </w:rPr>
              <w:t>•  Un reporte reenviado desde la cola offline no se registra por duplicado.</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según el formato de historia de usuario de XP.</w:t>
      </w:r>
    </w:p>
    <w:p>
      <w:pPr>
        <w:keepNext/>
        <w:spacing w:line="480" w:lineRule="auto" w:before="120"/>
      </w:pPr>
      <w:r>
        <w:rPr>
          <w:rFonts w:ascii="Times New Roman" w:hAnsi="Times New Roman" w:eastAsia="Times New Roman"/>
          <w:b/>
          <w:i w:val="0"/>
          <w:sz w:val="24"/>
        </w:rPr>
        <w:t>Tabla 9</w:t>
      </w:r>
    </w:p>
    <w:p>
      <w:pPr>
        <w:keepNext/>
        <w:spacing w:line="480" w:lineRule="auto"/>
      </w:pPr>
      <w:r>
        <w:rPr>
          <w:rFonts w:ascii="Times New Roman" w:hAnsi="Times New Roman" w:eastAsia="Times New Roman"/>
          <w:b w:val="0"/>
          <w:i/>
          <w:sz w:val="24"/>
        </w:rPr>
        <w:t>Historia de usuario HU-12: Gestionar usuarios y aprobar obstetras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Pr>
          <w:p>
            <w:pPr>
              <w:spacing w:line="240" w:lineRule="auto" w:after="40" w:before="40"/>
              <w:jc w:val="left"/>
            </w:pPr>
            <w:r/>
            <w:r>
              <w:rPr>
                <w:rFonts w:ascii="Times New Roman" w:hAnsi="Times New Roman" w:eastAsia="Times New Roman"/>
                <w:b/>
                <w:i w:val="0"/>
                <w:sz w:val="22"/>
              </w:rPr>
              <w:t>HU-12</w:t>
            </w:r>
          </w:p>
        </w:tc>
        <w:tc>
          <w:tcPr>
            <w:tcW w:type="dxa" w:w="2304"/>
            <w:gridSpan w:val="3"/>
            <w:vAlign w:val="center"/>
          </w:tcPr>
          <w:p>
            <w:pPr>
              <w:spacing w:line="240" w:lineRule="auto" w:after="40" w:before="40"/>
              <w:jc w:val="left"/>
            </w:pPr>
            <w:r/>
            <w:r>
              <w:rPr>
                <w:rFonts w:ascii="Times New Roman" w:hAnsi="Times New Roman" w:eastAsia="Times New Roman"/>
                <w:b/>
                <w:i w:val="0"/>
                <w:sz w:val="22"/>
              </w:rPr>
              <w:t>Gestionar usuarios y aprobar obstetras</w:t>
            </w:r>
          </w:p>
        </w:tc>
      </w:tr>
      <w:tr>
        <w:tc>
          <w:tcPr>
            <w:tcW w:type="dxa" w:w="2304"/>
            <w:vAlign w:val="center"/>
          </w:tcPr>
          <w:p>
            <w:pPr>
              <w:spacing w:line="240" w:lineRule="auto" w:after="40" w:before="40"/>
              <w:jc w:val="left"/>
            </w:pPr>
            <w:r/>
            <w:r>
              <w:rPr>
                <w:rFonts w:ascii="Times New Roman" w:hAnsi="Times New Roman" w:eastAsia="Times New Roman"/>
                <w:b/>
                <w:i w:val="0"/>
                <w:sz w:val="22"/>
              </w:rPr>
              <w:t>Usuario:</w:t>
            </w:r>
          </w:p>
        </w:tc>
        <w:tc>
          <w:tcPr>
            <w:tcW w:type="dxa" w:w="2736"/>
            <w:vAlign w:val="center"/>
          </w:tcPr>
          <w:p>
            <w:pPr>
              <w:spacing w:line="240" w:lineRule="auto" w:after="40" w:before="40"/>
              <w:jc w:val="left"/>
            </w:pPr>
            <w:r/>
            <w:r>
              <w:rPr>
                <w:rFonts w:ascii="Times New Roman" w:hAnsi="Times New Roman" w:eastAsia="Times New Roman"/>
                <w:b w:val="0"/>
                <w:i w:val="0"/>
                <w:sz w:val="22"/>
              </w:rPr>
              <w:t>Administrador</w:t>
            </w:r>
          </w:p>
        </w:tc>
        <w:tc>
          <w:tcPr>
            <w:tcW w:type="dxa" w:w="2016"/>
            <w:vAlign w:val="center"/>
          </w:tcPr>
          <w:p>
            <w:pPr>
              <w:spacing w:line="240" w:lineRule="auto" w:after="40" w:before="40"/>
              <w:jc w:val="left"/>
            </w:pPr>
            <w:r/>
            <w:r>
              <w:rPr>
                <w:rFonts w:ascii="Times New Roman" w:hAnsi="Times New Roman" w:eastAsia="Times New Roman"/>
                <w:b/>
                <w:i w:val="0"/>
                <w:sz w:val="22"/>
              </w:rPr>
              <w:t>Prioridad:</w:t>
            </w:r>
          </w:p>
        </w:tc>
        <w:tc>
          <w:tcPr>
            <w:tcW w:type="dxa" w:w="2304"/>
            <w:vAlign w:val="center"/>
          </w:tcPr>
          <w:p>
            <w:pPr>
              <w:spacing w:line="240" w:lineRule="auto" w:after="40" w:before="40"/>
              <w:jc w:val="left"/>
            </w:pPr>
            <w:r/>
            <w:r>
              <w:rPr>
                <w:rFonts w:ascii="Times New Roman" w:hAnsi="Times New Roman" w:eastAsia="Times New Roman"/>
                <w:b w:val="0"/>
                <w:i w:val="0"/>
                <w:sz w:val="22"/>
              </w:rPr>
              <w:t>Alta</w:t>
            </w:r>
          </w:p>
        </w:tc>
      </w:tr>
      <w:tr>
        <w:tc>
          <w:tcPr>
            <w:tcW w:type="dxa" w:w="2304"/>
            <w:vAlign w:val="center"/>
          </w:tcPr>
          <w:p>
            <w:pPr>
              <w:spacing w:line="240" w:lineRule="auto" w:after="40" w:before="40"/>
              <w:jc w:val="left"/>
            </w:pPr>
            <w:r/>
            <w:r>
              <w:rPr>
                <w:rFonts w:ascii="Times New Roman" w:hAnsi="Times New Roman" w:eastAsia="Times New Roman"/>
                <w:b/>
                <w:i w:val="0"/>
                <w:sz w:val="22"/>
              </w:rPr>
              <w:t>Puntos estimados:</w:t>
            </w:r>
          </w:p>
        </w:tc>
        <w:tc>
          <w:tcPr>
            <w:tcW w:type="dxa" w:w="2736"/>
            <w:vAlign w:val="center"/>
          </w:tcPr>
          <w:p>
            <w:pPr>
              <w:spacing w:line="240" w:lineRule="auto" w:after="40" w:before="40"/>
              <w:jc w:val="left"/>
            </w:pPr>
            <w:r/>
            <w:r>
              <w:rPr>
                <w:rFonts w:ascii="Times New Roman" w:hAnsi="Times New Roman" w:eastAsia="Times New Roman"/>
                <w:b w:val="0"/>
                <w:i w:val="0"/>
                <w:sz w:val="22"/>
              </w:rPr>
              <w:t>3 (aprox. 1 semana)</w:t>
            </w:r>
          </w:p>
        </w:tc>
        <w:tc>
          <w:tcPr>
            <w:tcW w:type="dxa" w:w="2016"/>
            <w:vAlign w:val="center"/>
          </w:tcPr>
          <w:p>
            <w:pPr>
              <w:spacing w:line="240" w:lineRule="auto" w:after="40" w:before="40"/>
              <w:jc w:val="left"/>
            </w:pPr>
            <w:r/>
            <w:r>
              <w:rPr>
                <w:rFonts w:ascii="Times New Roman" w:hAnsi="Times New Roman" w:eastAsia="Times New Roman"/>
                <w:b/>
                <w:i w:val="0"/>
                <w:sz w:val="22"/>
              </w:rPr>
              <w:t>Iteración:</w:t>
            </w:r>
          </w:p>
        </w:tc>
        <w:tc>
          <w:tcPr>
            <w:tcW w:type="dxa" w:w="2304"/>
            <w:vAlign w:val="center"/>
          </w:tcPr>
          <w:p>
            <w:pPr>
              <w:spacing w:line="240" w:lineRule="auto" w:after="40" w:before="40"/>
              <w:jc w:val="left"/>
            </w:pPr>
            <w:r/>
            <w:r>
              <w:rPr>
                <w:rFonts w:ascii="Times New Roman" w:hAnsi="Times New Roman" w:eastAsia="Times New Roman"/>
                <w:b w:val="0"/>
                <w:i w:val="0"/>
                <w:sz w:val="22"/>
              </w:rPr>
              <w:t>Iteración 1</w:t>
            </w:r>
          </w:p>
        </w:tc>
      </w:tr>
      <w:tr>
        <w:tc>
          <w:tcPr>
            <w:tcW w:type="dxa" w:w="2304"/>
            <w:gridSpan w:val="4"/>
          </w:tcPr>
          <w:p>
            <w:pPr>
              <w:spacing w:line="240" w:lineRule="auto"/>
              <w:jc w:val="both"/>
            </w:pPr>
            <w:r>
              <w:rPr>
                <w:rFonts w:ascii="Times New Roman" w:hAnsi="Times New Roman" w:eastAsia="Times New Roman"/>
                <w:b/>
                <w:i w:val="0"/>
                <w:sz w:val="22"/>
              </w:rPr>
              <w:t xml:space="preserve">Descripción: </w:t>
            </w:r>
            <w:r>
              <w:rPr>
                <w:rFonts w:ascii="Times New Roman" w:hAnsi="Times New Roman" w:eastAsia="Times New Roman"/>
                <w:b w:val="0"/>
                <w:i w:val="0"/>
                <w:sz w:val="22"/>
              </w:rPr>
              <w:t>Como administrador, quiero crear, listar, actualizar y eliminar usuarios, así como aprobar a los obstetras registrados, para gestionar el acceso al sistema y mantener actualizada la información del personal.</w:t>
            </w:r>
          </w:p>
        </w:tc>
      </w:tr>
      <w:tr>
        <w:tc>
          <w:tcPr>
            <w:tcW w:type="dxa" w:w="2304"/>
            <w:gridSpan w:val="4"/>
          </w:tcPr>
          <w:p>
            <w:pPr>
              <w:spacing w:line="240" w:lineRule="auto"/>
            </w:pPr>
            <w:r>
              <w:rPr>
                <w:rFonts w:ascii="Times New Roman" w:hAnsi="Times New Roman" w:eastAsia="Times New Roman"/>
                <w:b/>
                <w:i w:val="0"/>
                <w:sz w:val="22"/>
              </w:rPr>
              <w:t>Criterios de aceptación:</w:t>
            </w:r>
          </w:p>
          <w:p>
            <w:pPr>
              <w:spacing w:line="240" w:lineRule="auto"/>
              <w:ind w:left="288"/>
            </w:pPr>
            <w:r>
              <w:rPr>
                <w:rFonts w:ascii="Times New Roman" w:hAnsi="Times New Roman" w:eastAsia="Times New Roman"/>
                <w:b w:val="0"/>
                <w:i w:val="0"/>
                <w:sz w:val="22"/>
              </w:rPr>
              <w:t>•  El administrador puede crear usuarios asignándoles un rol.</w:t>
            </w:r>
          </w:p>
          <w:p>
            <w:pPr>
              <w:spacing w:line="240" w:lineRule="auto"/>
              <w:ind w:left="288"/>
            </w:pPr>
            <w:r>
              <w:rPr>
                <w:rFonts w:ascii="Times New Roman" w:hAnsi="Times New Roman" w:eastAsia="Times New Roman"/>
                <w:b w:val="0"/>
                <w:i w:val="0"/>
                <w:sz w:val="22"/>
              </w:rPr>
              <w:t>•  Los obstetras registrados quedan pendientes hasta su aprobación.</w:t>
            </w:r>
          </w:p>
          <w:p>
            <w:pPr>
              <w:spacing w:line="240" w:lineRule="auto"/>
              <w:ind w:left="288"/>
            </w:pPr>
            <w:r>
              <w:rPr>
                <w:rFonts w:ascii="Times New Roman" w:hAnsi="Times New Roman" w:eastAsia="Times New Roman"/>
                <w:b w:val="0"/>
                <w:i w:val="0"/>
                <w:sz w:val="22"/>
              </w:rPr>
              <w:t>•  La lista admite búsqueda por nombre y filtro por rol y estado.</w:t>
            </w:r>
          </w:p>
          <w:p>
            <w:pPr>
              <w:spacing w:line="240" w:lineRule="auto"/>
              <w:ind w:left="288"/>
            </w:pPr>
            <w:r>
              <w:rPr>
                <w:rFonts w:ascii="Times New Roman" w:hAnsi="Times New Roman" w:eastAsia="Times New Roman"/>
                <w:b w:val="0"/>
                <w:i w:val="0"/>
                <w:sz w:val="22"/>
              </w:rPr>
              <w:t>•  La eliminación es lógica y conserva los datos históricos.</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según el formato de historia de usuario de XP.</w:t>
      </w:r>
    </w:p>
    <w:p>
      <w:pPr>
        <w:keepNext/>
        <w:spacing w:line="480" w:lineRule="auto" w:before="120" w:after="0"/>
      </w:pPr>
      <w:r>
        <w:rPr>
          <w:rFonts w:ascii="Times New Roman" w:hAnsi="Times New Roman" w:eastAsia="Times New Roman"/>
          <w:b/>
          <w:i w:val="0"/>
          <w:color w:val="2E6CB5"/>
          <w:sz w:val="24"/>
        </w:rPr>
        <w:t>1.5 Plan de Publicaciones (Iteraciones)</w:t>
      </w:r>
    </w:p>
    <w:p>
      <w:pPr>
        <w:spacing w:line="480" w:lineRule="auto" w:after="0"/>
        <w:ind w:firstLine="720"/>
        <w:jc w:val="both"/>
      </w:pPr>
      <w:r>
        <w:rPr>
          <w:rFonts w:ascii="Times New Roman" w:hAnsi="Times New Roman" w:eastAsia="Times New Roman"/>
          <w:b w:val="0"/>
          <w:i w:val="0"/>
          <w:sz w:val="24"/>
        </w:rPr>
        <w:t>El desarrollo se dividió en cinco iteraciones cortas, asegurando entregas continuas y funcionales. Al finalizar cada iteración se obtuvo una versión ejecutable del aplicativo que fue revisada con el personal de salud, de modo que la retroalimentación recogida alimentó la planificación de la iteración siguiente. La Tabla 10 resume el plan de iteraciones, con sus historias y tareas principales.</w:t>
      </w:r>
    </w:p>
    <w:p>
      <w:pPr>
        <w:keepNext/>
        <w:spacing w:line="480" w:lineRule="auto" w:before="120"/>
      </w:pPr>
      <w:r>
        <w:rPr>
          <w:rFonts w:ascii="Times New Roman" w:hAnsi="Times New Roman" w:eastAsia="Times New Roman"/>
          <w:b/>
          <w:i w:val="0"/>
          <w:sz w:val="24"/>
        </w:rPr>
        <w:t>Tabla 10</w:t>
      </w:r>
    </w:p>
    <w:p>
      <w:pPr>
        <w:keepNext/>
        <w:spacing w:line="480" w:lineRule="auto"/>
      </w:pPr>
      <w:r>
        <w:rPr>
          <w:rFonts w:ascii="Times New Roman" w:hAnsi="Times New Roman" w:eastAsia="Times New Roman"/>
          <w:b w:val="0"/>
          <w:i/>
          <w:sz w:val="24"/>
        </w:rPr>
        <w:t>Plan de iteraciones del aplicativo VITMATERNA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Iteración</w:t>
            </w:r>
          </w:p>
        </w:tc>
        <w:tc>
          <w:tcPr>
            <w:tcW w:type="dxa" w:w="216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Historias asignadas</w:t>
            </w:r>
          </w:p>
        </w:tc>
        <w:tc>
          <w:tcPr>
            <w:tcW w:type="dxa" w:w="561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Tareas principales</w:t>
            </w:r>
          </w:p>
        </w:tc>
      </w:tr>
      <w:tr>
        <w:tc>
          <w:tcPr>
            <w:tcW w:type="dxa" w:w="158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1.ª Iteración</w:t>
              <w:br/>
              <w:t>(2 semanas)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HU-01, HU-12</w:t>
            </w:r>
          </w:p>
        </w:tc>
        <w:tc>
          <w:tcPr>
            <w:tcW w:type="dxa" w:w="56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Diseño del esquema relacional y migraciones; configuración del backend con Express y Prisma; autenticación JWT; control de acceso por roles; gestión de usuarios y aprobación de obstetras.</w:t>
            </w:r>
          </w:p>
        </w:tc>
      </w:tr>
      <w:tr>
        <w:tc>
          <w:tcPr>
            <w:tcW w:type="dxa" w:w="158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2.ª Iteración</w:t>
              <w:br/>
              <w:t>(2 semanas)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HU-02, HU-03</w:t>
            </w:r>
          </w:p>
        </w:tc>
        <w:tc>
          <w:tcPr>
            <w:tcW w:type="dxa" w:w="56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Módulo de gestantes; implementación del cerebro clínico (FPP, edad gestacional, corrección de hemoglobina y nivel de riesgo); pantallas de inicio y perfil de la gestante.</w:t>
            </w:r>
          </w:p>
        </w:tc>
      </w:tr>
      <w:tr>
        <w:tc>
          <w:tcPr>
            <w:tcW w:type="dxa" w:w="158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3.ª Iteración</w:t>
              <w:br/>
              <w:t>(2 semanas)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HU-04, HU-05, HU-06, HU-07</w:t>
            </w:r>
          </w:p>
        </w:tc>
        <w:tc>
          <w:tcPr>
            <w:tcW w:type="dxa" w:w="56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Agenda inteligente de citas; motor proactivo de recordatorios por cron; registro de toma de suplementos con cola offline idempotente y cálculo de adherencia.</w:t>
            </w:r>
          </w:p>
        </w:tc>
      </w:tr>
      <w:tr>
        <w:tc>
          <w:tcPr>
            <w:tcW w:type="dxa" w:w="158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4.ª Iteración</w:t>
              <w:br/>
              <w:t>(2 semanas)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HU-08, HU-09</w:t>
            </w:r>
          </w:p>
        </w:tc>
        <w:tc>
          <w:tcPr>
            <w:tcW w:type="dxa" w:w="56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Botón de signos de alarma con geolocalización; chat clínico en tiempo real con Socket.IO; alertas automáticas entre roles.</w:t>
            </w:r>
          </w:p>
        </w:tc>
      </w:tr>
      <w:tr>
        <w:tc>
          <w:tcPr>
            <w:tcW w:type="dxa" w:w="1584"/>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5.ª Iteración</w:t>
              <w:br/>
              <w:t>(2 semanas)</w:t>
            </w:r>
          </w:p>
        </w:tc>
        <w:tc>
          <w:tcPr>
            <w:tcW w:type="dxa" w:w="216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HU-10, HU-11</w:t>
            </w:r>
          </w:p>
        </w:tc>
        <w:tc>
          <w:tcPr>
            <w:tcW w:type="dxa" w:w="5616"/>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Módulo de contenido educativo; generación de indicadores de asistencia y adherencia; tablero del administrador; pruebas de integración.</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del plan de desarrollo del aplicativo VITMATERNA.</w:t>
      </w:r>
    </w:p>
    <w:p>
      <w:pPr>
        <w:keepNext/>
        <w:spacing w:line="480" w:lineRule="auto" w:before="120" w:after="0"/>
      </w:pPr>
      <w:r>
        <w:rPr>
          <w:rFonts w:ascii="Times New Roman" w:hAnsi="Times New Roman" w:eastAsia="Times New Roman"/>
          <w:b/>
          <w:i w:val="0"/>
          <w:color w:val="2E6CB5"/>
          <w:sz w:val="24"/>
        </w:rPr>
        <w:t>1.6 Diagrama de Casos de Uso General</w:t>
      </w:r>
    </w:p>
    <w:p>
      <w:pPr>
        <w:spacing w:line="480" w:lineRule="auto" w:after="0"/>
        <w:ind w:firstLine="720"/>
        <w:jc w:val="both"/>
      </w:pPr>
      <w:r>
        <w:rPr>
          <w:rFonts w:ascii="Times New Roman" w:hAnsi="Times New Roman" w:eastAsia="Times New Roman"/>
          <w:b w:val="0"/>
          <w:i w:val="0"/>
          <w:sz w:val="24"/>
        </w:rPr>
        <w:t>El diagrama de casos de uso modela cómo los tres actores del sistema (gestante, obstetra y administrador) interactúan con los casos de uso principales. La Figura 2 presenta el diagrama de casos de uso general.</w:t>
      </w:r>
    </w:p>
    <w:p>
      <w:pPr>
        <w:keepNext/>
        <w:spacing w:line="480" w:lineRule="auto" w:before="120"/>
      </w:pPr>
      <w:r>
        <w:rPr>
          <w:rFonts w:ascii="Times New Roman" w:hAnsi="Times New Roman" w:eastAsia="Times New Roman"/>
          <w:b/>
          <w:i w:val="0"/>
          <w:sz w:val="24"/>
        </w:rPr>
        <w:t>Figura 2</w:t>
      </w:r>
    </w:p>
    <w:p>
      <w:pPr>
        <w:keepNext/>
        <w:spacing w:line="480" w:lineRule="auto"/>
      </w:pPr>
      <w:r>
        <w:rPr>
          <w:rFonts w:ascii="Times New Roman" w:hAnsi="Times New Roman" w:eastAsia="Times New Roman"/>
          <w:b w:val="0"/>
          <w:i/>
          <w:sz w:val="24"/>
        </w:rPr>
        <w:t>Diagrama de casos de uso general del aplicativo VITMATERNA</w:t>
      </w:r>
    </w:p>
    <w:p>
      <w:pPr>
        <w:keepNext/>
        <w:spacing w:line="240" w:lineRule="auto" w:before="80" w:after="80"/>
        <w:jc w:val="center"/>
      </w:pPr>
      <w:r>
        <w:drawing>
          <wp:inline xmlns:a="http://schemas.openxmlformats.org/drawingml/2006/main" xmlns:pic="http://schemas.openxmlformats.org/drawingml/2006/picture">
            <wp:extent cx="4572000" cy="6960006"/>
            <wp:docPr id="2" name="Picture 2"/>
            <wp:cNvGraphicFramePr>
              <a:graphicFrameLocks noChangeAspect="1"/>
            </wp:cNvGraphicFramePr>
            <a:graphic>
              <a:graphicData uri="http://schemas.openxmlformats.org/drawingml/2006/picture">
                <pic:pic>
                  <pic:nvPicPr>
                    <pic:cNvPr id="0" name="fig_casos_uso.png"/>
                    <pic:cNvPicPr/>
                  </pic:nvPicPr>
                  <pic:blipFill>
                    <a:blip r:embed="rId10"/>
                    <a:stretch>
                      <a:fillRect/>
                    </a:stretch>
                  </pic:blipFill>
                  <pic:spPr>
                    <a:xfrm>
                      <a:off x="0" y="0"/>
                      <a:ext cx="4572000" cy="6960006"/>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La gestante accede a las funciones de autocuidado; el obstetra concentra las funciones clínicas y de monitoreo; y el administrador, las funciones de gestión. Los tres actores comparten el caso de uso de inicio de sesión.</w:t>
      </w:r>
    </w:p>
    <w:p>
      <w:r>
        <w:br w:type="page"/>
      </w:r>
    </w:p>
    <w:p>
      <w:pPr>
        <w:keepNext/>
        <w:spacing w:line="480" w:lineRule="auto" w:before="120" w:after="0"/>
      </w:pPr>
      <w:r>
        <w:rPr>
          <w:rFonts w:ascii="Times New Roman" w:hAnsi="Times New Roman" w:eastAsia="Times New Roman"/>
          <w:b/>
          <w:i w:val="0"/>
          <w:color w:val="1F3A5F"/>
          <w:sz w:val="26"/>
        </w:rPr>
        <w:t>2. Diseño</w:t>
      </w:r>
    </w:p>
    <w:p>
      <w:pPr>
        <w:spacing w:line="480" w:lineRule="auto" w:after="0"/>
        <w:ind w:firstLine="720"/>
        <w:jc w:val="both"/>
      </w:pPr>
      <w:r>
        <w:rPr>
          <w:rFonts w:ascii="Times New Roman" w:hAnsi="Times New Roman" w:eastAsia="Times New Roman"/>
          <w:b w:val="0"/>
          <w:i w:val="0"/>
          <w:sz w:val="24"/>
        </w:rPr>
        <w:t>La metodología XP promueve el «diseño simple»: la solución más directa que resuelva el problema actual (Beck &amp; Andres, 2004). Bajo este principio se diseñó una arquitectura cliente-servidor de tres capas (presentación, aplicación y datos), con una estrategia offline-first en el cliente. La comunicación se realiza mediante una API REST sobre HTTPS con datos en JSON y un canal WebSocket para los eventos en tiempo real.</w:t>
      </w:r>
    </w:p>
    <w:p>
      <w:pPr>
        <w:keepNext/>
        <w:spacing w:line="480" w:lineRule="auto" w:before="120" w:after="0"/>
      </w:pPr>
      <w:r>
        <w:rPr>
          <w:rFonts w:ascii="Times New Roman" w:hAnsi="Times New Roman" w:eastAsia="Times New Roman"/>
          <w:b/>
          <w:i w:val="0"/>
          <w:color w:val="2E6CB5"/>
          <w:sz w:val="24"/>
        </w:rPr>
        <w:t>2.1 Arquitectura del Sistema</w:t>
      </w:r>
    </w:p>
    <w:p>
      <w:pPr>
        <w:spacing w:line="480" w:lineRule="auto" w:after="0"/>
        <w:ind w:firstLine="720"/>
        <w:jc w:val="both"/>
      </w:pPr>
      <w:r>
        <w:rPr>
          <w:rFonts w:ascii="Times New Roman" w:hAnsi="Times New Roman" w:eastAsia="Times New Roman"/>
          <w:b w:val="0"/>
          <w:i w:val="0"/>
          <w:sz w:val="24"/>
        </w:rPr>
        <w:t>La arquitectura organiza el sistema en componentes desacoplados que pueden evolucionar de forma independiente. La Figura 3 presenta la vista de componentes del sistema y la Figura 4 detalla la arquitectura por capas.</w:t>
      </w:r>
    </w:p>
    <w:p>
      <w:pPr>
        <w:keepNext/>
        <w:spacing w:line="480" w:lineRule="auto" w:before="120"/>
      </w:pPr>
      <w:r>
        <w:rPr>
          <w:rFonts w:ascii="Times New Roman" w:hAnsi="Times New Roman" w:eastAsia="Times New Roman"/>
          <w:b/>
          <w:i w:val="0"/>
          <w:sz w:val="24"/>
        </w:rPr>
        <w:t>Figura 3</w:t>
      </w:r>
    </w:p>
    <w:p>
      <w:pPr>
        <w:keepNext/>
        <w:spacing w:line="480" w:lineRule="auto"/>
      </w:pPr>
      <w:r>
        <w:rPr>
          <w:rFonts w:ascii="Times New Roman" w:hAnsi="Times New Roman" w:eastAsia="Times New Roman"/>
          <w:b w:val="0"/>
          <w:i/>
          <w:sz w:val="24"/>
        </w:rPr>
        <w:t>Diagrama de componentes del aplicativo VITMATERNA</w:t>
      </w:r>
    </w:p>
    <w:p>
      <w:pPr>
        <w:keepNext/>
        <w:spacing w:line="240" w:lineRule="auto" w:before="80" w:after="80"/>
        <w:jc w:val="center"/>
      </w:pPr>
      <w:r>
        <w:drawing>
          <wp:inline xmlns:a="http://schemas.openxmlformats.org/drawingml/2006/main" xmlns:pic="http://schemas.openxmlformats.org/drawingml/2006/picture">
            <wp:extent cx="5852160" cy="5028785"/>
            <wp:docPr id="3" name="Picture 3"/>
            <wp:cNvGraphicFramePr>
              <a:graphicFrameLocks noChangeAspect="1"/>
            </wp:cNvGraphicFramePr>
            <a:graphic>
              <a:graphicData uri="http://schemas.openxmlformats.org/drawingml/2006/picture">
                <pic:pic>
                  <pic:nvPicPr>
                    <pic:cNvPr id="0" name="fig_componentes.png"/>
                    <pic:cNvPicPr/>
                  </pic:nvPicPr>
                  <pic:blipFill>
                    <a:blip r:embed="rId11"/>
                    <a:stretch>
                      <a:fillRect/>
                    </a:stretch>
                  </pic:blipFill>
                  <pic:spPr>
                    <a:xfrm>
                      <a:off x="0" y="0"/>
                      <a:ext cx="5852160" cy="5028785"/>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de componentes. La aplicación cliente consume la API REST, que delega los cálculos al cerebro clínico y persiste la información en PostgreSQL y Redis; el motor proactivo y el servidor de tiempo real complementan la operación.</w:t>
      </w:r>
    </w:p>
    <w:p>
      <w:pPr>
        <w:keepNext/>
        <w:spacing w:line="480" w:lineRule="auto" w:before="120"/>
      </w:pPr>
      <w:r>
        <w:rPr>
          <w:rFonts w:ascii="Times New Roman" w:hAnsi="Times New Roman" w:eastAsia="Times New Roman"/>
          <w:b/>
          <w:i w:val="0"/>
          <w:sz w:val="24"/>
        </w:rPr>
        <w:t>Figura 4</w:t>
      </w:r>
    </w:p>
    <w:p>
      <w:pPr>
        <w:keepNext/>
        <w:spacing w:line="480" w:lineRule="auto"/>
      </w:pPr>
      <w:r>
        <w:rPr>
          <w:rFonts w:ascii="Times New Roman" w:hAnsi="Times New Roman" w:eastAsia="Times New Roman"/>
          <w:b w:val="0"/>
          <w:i/>
          <w:sz w:val="24"/>
        </w:rPr>
        <w:t>Arquitectura general por capas del aplicativo VITMATERNA</w:t>
      </w:r>
    </w:p>
    <w:p>
      <w:pPr>
        <w:keepNext/>
        <w:spacing w:line="240" w:lineRule="auto" w:before="80" w:after="80"/>
        <w:jc w:val="center"/>
      </w:pPr>
      <w:r>
        <w:drawing>
          <wp:inline xmlns:a="http://schemas.openxmlformats.org/drawingml/2006/main" xmlns:pic="http://schemas.openxmlformats.org/drawingml/2006/picture">
            <wp:extent cx="5943600" cy="1864624"/>
            <wp:docPr id="4" name="Picture 4"/>
            <wp:cNvGraphicFramePr>
              <a:graphicFrameLocks noChangeAspect="1"/>
            </wp:cNvGraphicFramePr>
            <a:graphic>
              <a:graphicData uri="http://schemas.openxmlformats.org/drawingml/2006/picture">
                <pic:pic>
                  <pic:nvPicPr>
                    <pic:cNvPr id="0" name="fig_arquitectura.png"/>
                    <pic:cNvPicPr/>
                  </pic:nvPicPr>
                  <pic:blipFill>
                    <a:blip r:embed="rId12"/>
                    <a:stretch>
                      <a:fillRect/>
                    </a:stretch>
                  </pic:blipFill>
                  <pic:spPr>
                    <a:xfrm>
                      <a:off x="0" y="0"/>
                      <a:ext cx="5943600" cy="1864624"/>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 distinguen la capa de presentación (móvil y web), la de aplicación (API REST con sus módulos y el cerebro clínico) y la de datos (PostgreSQL, Redis y los canales externos de notificación).</w:t>
      </w:r>
    </w:p>
    <w:p>
      <w:pPr>
        <w:spacing w:line="480" w:lineRule="auto" w:after="0"/>
        <w:ind w:firstLine="720"/>
        <w:jc w:val="both"/>
      </w:pPr>
      <w:r>
        <w:rPr>
          <w:rFonts w:ascii="Times New Roman" w:hAnsi="Times New Roman" w:eastAsia="Times New Roman"/>
          <w:b w:val="0"/>
          <w:i w:val="0"/>
          <w:sz w:val="24"/>
        </w:rPr>
        <w:t>Un principio de diseño gobierna toda la arquitectura: el servidor constituye la única fuente de verdad y no confía en los cálculos enviados por el cliente. Asimismo, el cliente adopta una estrategia offline-first, conservando las lecturas en caché y encolando las escrituras en una bandeja de salida idempotente que se sincroniza al recuperar la conexión, condición indispensable para la conectividad intermitente de la zona andina en la que opera el Centro de Salud Talavera.</w:t>
      </w:r>
    </w:p>
    <w:p>
      <w:pPr>
        <w:keepNext/>
        <w:spacing w:line="480" w:lineRule="auto" w:before="120" w:after="0"/>
      </w:pPr>
      <w:r>
        <w:rPr>
          <w:rFonts w:ascii="Times New Roman" w:hAnsi="Times New Roman" w:eastAsia="Times New Roman"/>
          <w:b/>
          <w:i w:val="0"/>
          <w:color w:val="2E6CB5"/>
          <w:sz w:val="24"/>
        </w:rPr>
        <w:t>2.2 Diagramas de Flujo y de Secuencia</w:t>
      </w:r>
    </w:p>
    <w:p>
      <w:pPr>
        <w:spacing w:line="480" w:lineRule="auto" w:after="0"/>
        <w:ind w:firstLine="720"/>
        <w:jc w:val="both"/>
      </w:pPr>
      <w:r>
        <w:rPr>
          <w:rFonts w:ascii="Times New Roman" w:hAnsi="Times New Roman" w:eastAsia="Times New Roman"/>
          <w:b w:val="0"/>
          <w:i w:val="0"/>
          <w:sz w:val="24"/>
        </w:rPr>
        <w:t>Los diagramas de flujo y de secuencia permiten establecer de manera visual la lógica de negocio detrás de cada proceso. La Figura 5 representa, mediante un diagrama de actividad, el flujo del proceso central del sistema: el control prenatal, incluyendo el recálculo automático del riesgo y la ruta de inasistencia.</w:t>
      </w:r>
    </w:p>
    <w:p>
      <w:pPr>
        <w:keepNext/>
        <w:spacing w:line="480" w:lineRule="auto" w:before="120"/>
      </w:pPr>
      <w:r>
        <w:rPr>
          <w:rFonts w:ascii="Times New Roman" w:hAnsi="Times New Roman" w:eastAsia="Times New Roman"/>
          <w:b/>
          <w:i w:val="0"/>
          <w:sz w:val="24"/>
        </w:rPr>
        <w:t>Figura 5</w:t>
      </w:r>
    </w:p>
    <w:p>
      <w:pPr>
        <w:keepNext/>
        <w:spacing w:line="480" w:lineRule="auto"/>
      </w:pPr>
      <w:r>
        <w:rPr>
          <w:rFonts w:ascii="Times New Roman" w:hAnsi="Times New Roman" w:eastAsia="Times New Roman"/>
          <w:b w:val="0"/>
          <w:i/>
          <w:sz w:val="24"/>
        </w:rPr>
        <w:t>Diagrama de actividad del proceso de control prenatal</w:t>
      </w:r>
    </w:p>
    <w:p>
      <w:pPr>
        <w:keepNext/>
        <w:spacing w:line="240" w:lineRule="auto" w:before="80" w:after="80"/>
        <w:jc w:val="center"/>
      </w:pPr>
      <w:r>
        <w:drawing>
          <wp:inline xmlns:a="http://schemas.openxmlformats.org/drawingml/2006/main" xmlns:pic="http://schemas.openxmlformats.org/drawingml/2006/picture">
            <wp:extent cx="2954816" cy="7315200"/>
            <wp:docPr id="5" name="Picture 5"/>
            <wp:cNvGraphicFramePr>
              <a:graphicFrameLocks noChangeAspect="1"/>
            </wp:cNvGraphicFramePr>
            <a:graphic>
              <a:graphicData uri="http://schemas.openxmlformats.org/drawingml/2006/picture">
                <pic:pic>
                  <pic:nvPicPr>
                    <pic:cNvPr id="0" name="fig_actividad.png"/>
                    <pic:cNvPicPr/>
                  </pic:nvPicPr>
                  <pic:blipFill>
                    <a:blip r:embed="rId13"/>
                    <a:stretch>
                      <a:fillRect/>
                    </a:stretch>
                  </pic:blipFill>
                  <pic:spPr>
                    <a:xfrm>
                      <a:off x="0" y="0"/>
                      <a:ext cx="2954816" cy="7315200"/>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de actividad. El flujo contempla el agendamiento, el recordatorio automático, la confirmación o reprogramación, el registro del control y el recálculo del nivel de riesgo en el servidor.</w:t>
      </w:r>
    </w:p>
    <w:p>
      <w:pPr>
        <w:spacing w:line="480" w:lineRule="auto" w:after="0"/>
        <w:ind w:firstLine="720"/>
        <w:jc w:val="both"/>
      </w:pPr>
      <w:r>
        <w:rPr>
          <w:rFonts w:ascii="Times New Roman" w:hAnsi="Times New Roman" w:eastAsia="Times New Roman"/>
          <w:b w:val="0"/>
          <w:i w:val="0"/>
          <w:sz w:val="24"/>
        </w:rPr>
        <w:t>De manera complementaria, la Figura 6 representa, mediante un diagrama de actividad, el proceso de adherencia a los tratamientos prenatales, vinculado al segundo objetivo de la investigación. El flujo abarca desde la prescripción del suplemento hasta el cálculo de la adherencia en el servidor y la generación de una alerta cuando esta cae por debajo del umbral establecido, contemplando también la ruta de operación sin conexión.</w:t>
      </w:r>
    </w:p>
    <w:p>
      <w:pPr>
        <w:keepNext/>
        <w:spacing w:line="480" w:lineRule="auto" w:before="120"/>
      </w:pPr>
      <w:r>
        <w:rPr>
          <w:rFonts w:ascii="Times New Roman" w:hAnsi="Times New Roman" w:eastAsia="Times New Roman"/>
          <w:b/>
          <w:i w:val="0"/>
          <w:sz w:val="24"/>
        </w:rPr>
        <w:t>Figura 6</w:t>
      </w:r>
    </w:p>
    <w:p>
      <w:pPr>
        <w:keepNext/>
        <w:spacing w:line="480" w:lineRule="auto"/>
      </w:pPr>
      <w:r>
        <w:rPr>
          <w:rFonts w:ascii="Times New Roman" w:hAnsi="Times New Roman" w:eastAsia="Times New Roman"/>
          <w:b w:val="0"/>
          <w:i/>
          <w:sz w:val="24"/>
        </w:rPr>
        <w:t>Diagrama de actividad del proceso de adherencia a los tratamientos prenatales</w:t>
      </w:r>
    </w:p>
    <w:p>
      <w:pPr>
        <w:keepNext/>
        <w:spacing w:line="240" w:lineRule="auto" w:before="80" w:after="80"/>
        <w:jc w:val="center"/>
      </w:pPr>
      <w:r>
        <w:drawing>
          <wp:inline xmlns:a="http://schemas.openxmlformats.org/drawingml/2006/main" xmlns:pic="http://schemas.openxmlformats.org/drawingml/2006/picture">
            <wp:extent cx="2216969" cy="7315197"/>
            <wp:docPr id="6" name="Picture 6"/>
            <wp:cNvGraphicFramePr>
              <a:graphicFrameLocks noChangeAspect="1"/>
            </wp:cNvGraphicFramePr>
            <a:graphic>
              <a:graphicData uri="http://schemas.openxmlformats.org/drawingml/2006/picture">
                <pic:pic>
                  <pic:nvPicPr>
                    <pic:cNvPr id="0" name="fig_actividad_adherencia.png"/>
                    <pic:cNvPicPr/>
                  </pic:nvPicPr>
                  <pic:blipFill>
                    <a:blip r:embed="rId14"/>
                    <a:stretch>
                      <a:fillRect/>
                    </a:stretch>
                  </pic:blipFill>
                  <pic:spPr>
                    <a:xfrm>
                      <a:off x="0" y="0"/>
                      <a:ext cx="2216969" cy="7315197"/>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de actividad. El registro diario de la toma de suplementos opera incluso sin conexión, encolándose de forma idempotente; el servidor calcula la adherencia como el cociente entre los días tomados y los días esperados, y genera una alerta al obstetra cuando esta es inferior al 80 %.</w:t>
      </w:r>
    </w:p>
    <w:p>
      <w:pPr>
        <w:spacing w:line="480" w:lineRule="auto" w:after="0"/>
        <w:ind w:firstLine="720"/>
        <w:jc w:val="both"/>
      </w:pPr>
      <w:r>
        <w:rPr>
          <w:rFonts w:ascii="Times New Roman" w:hAnsi="Times New Roman" w:eastAsia="Times New Roman"/>
          <w:b w:val="0"/>
          <w:i w:val="0"/>
          <w:sz w:val="24"/>
        </w:rPr>
        <w:t>La Figura 7 presenta el diagrama de secuencia de la autenticación con JWT, que detalla la interacción entre los componentes durante el inicio de sesión.</w:t>
      </w:r>
    </w:p>
    <w:p>
      <w:pPr>
        <w:keepNext/>
        <w:spacing w:line="480" w:lineRule="auto" w:before="120"/>
      </w:pPr>
      <w:r>
        <w:rPr>
          <w:rFonts w:ascii="Times New Roman" w:hAnsi="Times New Roman" w:eastAsia="Times New Roman"/>
          <w:b/>
          <w:i w:val="0"/>
          <w:sz w:val="24"/>
        </w:rPr>
        <w:t>Figura 7</w:t>
      </w:r>
    </w:p>
    <w:p>
      <w:pPr>
        <w:keepNext/>
        <w:spacing w:line="480" w:lineRule="auto"/>
      </w:pPr>
      <w:r>
        <w:rPr>
          <w:rFonts w:ascii="Times New Roman" w:hAnsi="Times New Roman" w:eastAsia="Times New Roman"/>
          <w:b w:val="0"/>
          <w:i/>
          <w:sz w:val="24"/>
        </w:rPr>
        <w:t>Diagrama de secuencia de la autenticación con JWT</w:t>
      </w:r>
    </w:p>
    <w:p>
      <w:pPr>
        <w:keepNext/>
        <w:spacing w:line="240" w:lineRule="auto" w:before="80" w:after="80"/>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fig_seq_auth.png"/>
                    <pic:cNvPicPr/>
                  </pic:nvPicPr>
                  <pic:blipFill>
                    <a:blip r:embed="rId15"/>
                    <a:stretch>
                      <a:fillRect/>
                    </a:stretch>
                  </pic:blipFill>
                  <pic:spPr>
                    <a:xfrm>
                      <a:off x="0" y="0"/>
                      <a:ext cx="5852160" cy="3043123"/>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de secuencia. Se observa la verificación del hash de la contraseña con bcrypt y la emisión de los tokens de acceso y de refresco, almacenados de forma segura en el cliente.</w:t>
      </w:r>
    </w:p>
    <w:p>
      <w:pPr>
        <w:spacing w:line="480" w:lineRule="auto" w:after="0"/>
        <w:ind w:firstLine="720"/>
        <w:jc w:val="both"/>
      </w:pPr>
      <w:r>
        <w:rPr>
          <w:rFonts w:ascii="Times New Roman" w:hAnsi="Times New Roman" w:eastAsia="Times New Roman"/>
          <w:b w:val="0"/>
          <w:i w:val="0"/>
          <w:sz w:val="24"/>
        </w:rPr>
        <w:t>La Figura 8 muestra el diagrama de secuencia del reporte de un signo de alarma, que detalla cómo colaboran el cliente, la API, el servicio clínico y el canal de tiempo real para notificar al obstetra.</w:t>
      </w:r>
    </w:p>
    <w:p>
      <w:pPr>
        <w:keepNext/>
        <w:spacing w:line="480" w:lineRule="auto" w:before="120"/>
      </w:pPr>
      <w:r>
        <w:rPr>
          <w:rFonts w:ascii="Times New Roman" w:hAnsi="Times New Roman" w:eastAsia="Times New Roman"/>
          <w:b/>
          <w:i w:val="0"/>
          <w:sz w:val="24"/>
        </w:rPr>
        <w:t>Figura 8</w:t>
      </w:r>
    </w:p>
    <w:p>
      <w:pPr>
        <w:keepNext/>
        <w:spacing w:line="480" w:lineRule="auto"/>
      </w:pPr>
      <w:r>
        <w:rPr>
          <w:rFonts w:ascii="Times New Roman" w:hAnsi="Times New Roman" w:eastAsia="Times New Roman"/>
          <w:b w:val="0"/>
          <w:i/>
          <w:sz w:val="24"/>
        </w:rPr>
        <w:t>Diagrama de secuencia del reporte de un signo de alarma</w:t>
      </w:r>
    </w:p>
    <w:p>
      <w:pPr>
        <w:keepNext/>
        <w:spacing w:line="240" w:lineRule="auto" w:before="80" w:after="80"/>
        <w:jc w:val="center"/>
      </w:pPr>
      <w:r>
        <w:drawing>
          <wp:inline xmlns:a="http://schemas.openxmlformats.org/drawingml/2006/main" xmlns:pic="http://schemas.openxmlformats.org/drawingml/2006/picture">
            <wp:extent cx="5943600" cy="2491557"/>
            <wp:docPr id="8" name="Picture 8"/>
            <wp:cNvGraphicFramePr>
              <a:graphicFrameLocks noChangeAspect="1"/>
            </wp:cNvGraphicFramePr>
            <a:graphic>
              <a:graphicData uri="http://schemas.openxmlformats.org/drawingml/2006/picture">
                <pic:pic>
                  <pic:nvPicPr>
                    <pic:cNvPr id="0" name="fig_seq_alarma.png"/>
                    <pic:cNvPicPr/>
                  </pic:nvPicPr>
                  <pic:blipFill>
                    <a:blip r:embed="rId16"/>
                    <a:stretch>
                      <a:fillRect/>
                    </a:stretch>
                  </pic:blipFill>
                  <pic:spPr>
                    <a:xfrm>
                      <a:off x="0" y="0"/>
                      <a:ext cx="5943600" cy="2491557"/>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de secuencia. El servicio valida la idempotencia del reporte y emite la alerta en tiempo real hacia la aplicación del obstetra.</w:t>
      </w:r>
    </w:p>
    <w:p>
      <w:pPr>
        <w:keepNext/>
        <w:spacing w:line="480" w:lineRule="auto" w:before="120" w:after="0"/>
      </w:pPr>
      <w:r>
        <w:rPr>
          <w:rFonts w:ascii="Times New Roman" w:hAnsi="Times New Roman" w:eastAsia="Times New Roman"/>
          <w:b/>
          <w:i w:val="0"/>
          <w:color w:val="2E6CB5"/>
          <w:sz w:val="24"/>
        </w:rPr>
        <w:t>2.3 Diseño de Base de Datos</w:t>
      </w:r>
    </w:p>
    <w:p>
      <w:pPr>
        <w:spacing w:line="480" w:lineRule="auto" w:after="0"/>
        <w:ind w:firstLine="720"/>
        <w:jc w:val="both"/>
      </w:pPr>
      <w:r>
        <w:rPr>
          <w:rFonts w:ascii="Times New Roman" w:hAnsi="Times New Roman" w:eastAsia="Times New Roman"/>
          <w:b w:val="0"/>
          <w:i w:val="0"/>
          <w:sz w:val="24"/>
        </w:rPr>
        <w:t>Para la persistencia de datos se estructuró un sistema relacional sobre PostgreSQL 16, optimizado para la lectura de reportes y la escritura concurrente. El esquema se gobierna mediante migraciones versionadas con Prisma, que constituyen la fuente única de verdad (RNF-008). El diseño comprende veintinueve entidades, agrupadas en torno a la gestante como entidad central. El diseño de la base de datos se documenta en tres niveles de abstracción sucesivos, conforme a la metodología clásica de diseño de bases de datos: el modelo conceptual (entidad-relación), el modelo lógico (relacional) y el modelo físico.</w:t>
      </w:r>
    </w:p>
    <w:p>
      <w:pPr>
        <w:keepNext/>
        <w:spacing w:line="480" w:lineRule="auto" w:before="120" w:after="0"/>
      </w:pPr>
      <w:r>
        <w:rPr>
          <w:rFonts w:ascii="Times New Roman" w:hAnsi="Times New Roman" w:eastAsia="Times New Roman"/>
          <w:b/>
          <w:i/>
          <w:color w:val="404040"/>
          <w:sz w:val="24"/>
        </w:rPr>
        <w:t>2.3.1 Modelo Conceptual (Entidad-Relación)</w:t>
      </w:r>
    </w:p>
    <w:p>
      <w:pPr>
        <w:spacing w:line="480" w:lineRule="auto" w:after="0"/>
        <w:ind w:firstLine="720"/>
        <w:jc w:val="both"/>
      </w:pPr>
      <w:r>
        <w:rPr>
          <w:rFonts w:ascii="Times New Roman" w:hAnsi="Times New Roman" w:eastAsia="Times New Roman"/>
          <w:b w:val="0"/>
          <w:i w:val="0"/>
          <w:sz w:val="24"/>
        </w:rPr>
        <w:t>El modelo conceptual representa, a alto nivel, las entidades del dominio y sus relaciones, sin detallar tipos de datos. La entidad central es la gestante, de la que dependen sus controles, tratamientos, laboratorios, citas y signos de alarma; el usuario se especializa en gestante u obstetra. La Figura 9 presenta el modelo conceptual con la cardinalidad de sus relaciones.</w:t>
      </w:r>
    </w:p>
    <w:p>
      <w:pPr>
        <w:keepNext/>
        <w:spacing w:line="480" w:lineRule="auto" w:before="120"/>
      </w:pPr>
      <w:r>
        <w:rPr>
          <w:rFonts w:ascii="Times New Roman" w:hAnsi="Times New Roman" w:eastAsia="Times New Roman"/>
          <w:b/>
          <w:i w:val="0"/>
          <w:sz w:val="24"/>
        </w:rPr>
        <w:t>Figura 9</w:t>
      </w:r>
    </w:p>
    <w:p>
      <w:pPr>
        <w:keepNext/>
        <w:spacing w:line="480" w:lineRule="auto"/>
      </w:pPr>
      <w:r>
        <w:rPr>
          <w:rFonts w:ascii="Times New Roman" w:hAnsi="Times New Roman" w:eastAsia="Times New Roman"/>
          <w:b w:val="0"/>
          <w:i/>
          <w:sz w:val="24"/>
        </w:rPr>
        <w:t>Modelo conceptual (entidad-relación) del aplicativo VITMATERNA</w:t>
      </w:r>
    </w:p>
    <w:p>
      <w:pPr>
        <w:keepNext/>
        <w:spacing w:line="240" w:lineRule="auto" w:before="80" w:after="80"/>
        <w:jc w:val="center"/>
      </w:pPr>
      <w:r>
        <w:drawing>
          <wp:inline xmlns:a="http://schemas.openxmlformats.org/drawingml/2006/main" xmlns:pic="http://schemas.openxmlformats.org/drawingml/2006/picture">
            <wp:extent cx="5943600" cy="4163940"/>
            <wp:docPr id="9" name="Picture 9"/>
            <wp:cNvGraphicFramePr>
              <a:graphicFrameLocks noChangeAspect="1"/>
            </wp:cNvGraphicFramePr>
            <a:graphic>
              <a:graphicData uri="http://schemas.openxmlformats.org/drawingml/2006/picture">
                <pic:pic>
                  <pic:nvPicPr>
                    <pic:cNvPr id="0" name="fig_er_conceptual.png"/>
                    <pic:cNvPicPr/>
                  </pic:nvPicPr>
                  <pic:blipFill>
                    <a:blip r:embed="rId17"/>
                    <a:stretch>
                      <a:fillRect/>
                    </a:stretch>
                  </pic:blipFill>
                  <pic:spPr>
                    <a:xfrm>
                      <a:off x="0" y="0"/>
                      <a:ext cx="5943600" cy="4163940"/>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herramienta de modelado de bases de datos. Las relaciones se expresan con su cardinalidad uno-a-muchos (1:N); la gestante constituye la entidad central de la que dependen las demás.</w:t>
      </w:r>
    </w:p>
    <w:p>
      <w:pPr>
        <w:keepNext/>
        <w:spacing w:line="480" w:lineRule="auto" w:before="120" w:after="0"/>
      </w:pPr>
      <w:r>
        <w:rPr>
          <w:rFonts w:ascii="Times New Roman" w:hAnsi="Times New Roman" w:eastAsia="Times New Roman"/>
          <w:b/>
          <w:i/>
          <w:color w:val="404040"/>
          <w:sz w:val="24"/>
        </w:rPr>
        <w:t>2.3.2 Modelo Lógico (Relacional)</w:t>
      </w:r>
    </w:p>
    <w:p>
      <w:pPr>
        <w:spacing w:line="480" w:lineRule="auto" w:after="0"/>
        <w:ind w:firstLine="720"/>
        <w:jc w:val="both"/>
      </w:pPr>
      <w:r>
        <w:rPr>
          <w:rFonts w:ascii="Times New Roman" w:hAnsi="Times New Roman" w:eastAsia="Times New Roman"/>
          <w:b w:val="0"/>
          <w:i w:val="0"/>
          <w:sz w:val="24"/>
        </w:rPr>
        <w:t>El modelo lógico o relacional traduce el modelo conceptual a un conjunto de relaciones (tablas) normalizadas, especificando para cada una sus atributos, su llave primaria y sus llaves foráneas, sin atarse aún a un gestor concreto. La Figura 10 presenta el modelo lógico del núcleo del sistema.</w:t>
      </w:r>
    </w:p>
    <w:p>
      <w:pPr>
        <w:keepNext/>
        <w:spacing w:line="480" w:lineRule="auto" w:before="120"/>
      </w:pPr>
      <w:r>
        <w:rPr>
          <w:rFonts w:ascii="Times New Roman" w:hAnsi="Times New Roman" w:eastAsia="Times New Roman"/>
          <w:b/>
          <w:i w:val="0"/>
          <w:sz w:val="24"/>
        </w:rPr>
        <w:t>Figura 10</w:t>
      </w:r>
    </w:p>
    <w:p>
      <w:pPr>
        <w:keepNext/>
        <w:spacing w:line="480" w:lineRule="auto"/>
      </w:pPr>
      <w:r>
        <w:rPr>
          <w:rFonts w:ascii="Times New Roman" w:hAnsi="Times New Roman" w:eastAsia="Times New Roman"/>
          <w:b w:val="0"/>
          <w:i/>
          <w:sz w:val="24"/>
        </w:rPr>
        <w:t>Modelo lógico (relacional) del núcleo del aplicativo VITMATERNA</w:t>
      </w:r>
    </w:p>
    <w:p>
      <w:pPr>
        <w:keepNext/>
        <w:spacing w:line="240" w:lineRule="auto" w:before="80" w:after="80"/>
        <w:jc w:val="center"/>
      </w:pPr>
      <w:r>
        <w:drawing>
          <wp:inline xmlns:a="http://schemas.openxmlformats.org/drawingml/2006/main" xmlns:pic="http://schemas.openxmlformats.org/drawingml/2006/picture">
            <wp:extent cx="5943600" cy="4677699"/>
            <wp:docPr id="10" name="Picture 10"/>
            <wp:cNvGraphicFramePr>
              <a:graphicFrameLocks noChangeAspect="1"/>
            </wp:cNvGraphicFramePr>
            <a:graphic>
              <a:graphicData uri="http://schemas.openxmlformats.org/drawingml/2006/picture">
                <pic:pic>
                  <pic:nvPicPr>
                    <pic:cNvPr id="0" name="fig_er_logico.png"/>
                    <pic:cNvPicPr/>
                  </pic:nvPicPr>
                  <pic:blipFill>
                    <a:blip r:embed="rId18"/>
                    <a:stretch>
                      <a:fillRect/>
                    </a:stretch>
                  </pic:blipFill>
                  <pic:spPr>
                    <a:xfrm>
                      <a:off x="0" y="0"/>
                      <a:ext cx="5943600" cy="4677699"/>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herramienta de modelado de bases de datos. Cada relación presenta sus atributos con tipos lógicos; la llave primaria encabeza cada tabla y las llaves foráneas (líneas conectoras) materializan las relaciones. El esquema se encuentra en tercera forma normal (3FN).</w:t>
      </w:r>
    </w:p>
    <w:p>
      <w:pPr>
        <w:keepNext/>
        <w:spacing w:line="480" w:lineRule="auto" w:before="120" w:after="0"/>
      </w:pPr>
      <w:r>
        <w:rPr>
          <w:rFonts w:ascii="Times New Roman" w:hAnsi="Times New Roman" w:eastAsia="Times New Roman"/>
          <w:b/>
          <w:i/>
          <w:color w:val="404040"/>
          <w:sz w:val="24"/>
        </w:rPr>
        <w:t>2.3.3 Modelo Físico</w:t>
      </w:r>
    </w:p>
    <w:p>
      <w:pPr>
        <w:spacing w:line="480" w:lineRule="auto" w:after="0"/>
        <w:ind w:firstLine="720"/>
        <w:jc w:val="both"/>
      </w:pPr>
      <w:r>
        <w:rPr>
          <w:rFonts w:ascii="Times New Roman" w:hAnsi="Times New Roman" w:eastAsia="Times New Roman"/>
          <w:b w:val="0"/>
          <w:i w:val="0"/>
          <w:sz w:val="24"/>
        </w:rPr>
        <w:t>El modelo físico representa la implementación concreta del esquema en el sistema gestor PostgreSQL 16, detallando los tipos de datos reales de cada columna, las restricciones de integridad (PK, FK, UK) y las relaciones entre tablas. La Figura 11 presenta el modelo físico del núcleo del sistema, generado a partir del esquema implementado.</w:t>
      </w:r>
    </w:p>
    <w:p>
      <w:pPr>
        <w:keepNext/>
        <w:spacing w:line="480" w:lineRule="auto" w:before="120"/>
      </w:pPr>
      <w:r>
        <w:rPr>
          <w:rFonts w:ascii="Times New Roman" w:hAnsi="Times New Roman" w:eastAsia="Times New Roman"/>
          <w:b/>
          <w:i w:val="0"/>
          <w:sz w:val="24"/>
        </w:rPr>
        <w:t>Figura 11</w:t>
      </w:r>
    </w:p>
    <w:p>
      <w:pPr>
        <w:keepNext/>
        <w:spacing w:line="480" w:lineRule="auto"/>
      </w:pPr>
      <w:r>
        <w:rPr>
          <w:rFonts w:ascii="Times New Roman" w:hAnsi="Times New Roman" w:eastAsia="Times New Roman"/>
          <w:b w:val="0"/>
          <w:i/>
          <w:sz w:val="24"/>
        </w:rPr>
        <w:t>Modelo físico del aplicativo VITMATERNA (implementación en PostgreSQL)</w:t>
      </w:r>
    </w:p>
    <w:p>
      <w:pPr>
        <w:keepNext/>
        <w:spacing w:line="240" w:lineRule="auto" w:before="80" w:after="80"/>
        <w:jc w:val="center"/>
      </w:pPr>
      <w:r>
        <w:drawing>
          <wp:inline xmlns:a="http://schemas.openxmlformats.org/drawingml/2006/main" xmlns:pic="http://schemas.openxmlformats.org/drawingml/2006/picture">
            <wp:extent cx="5943600" cy="4654988"/>
            <wp:docPr id="11" name="Picture 11"/>
            <wp:cNvGraphicFramePr>
              <a:graphicFrameLocks noChangeAspect="1"/>
            </wp:cNvGraphicFramePr>
            <a:graphic>
              <a:graphicData uri="http://schemas.openxmlformats.org/drawingml/2006/picture">
                <pic:pic>
                  <pic:nvPicPr>
                    <pic:cNvPr id="0" name="fig_er_fisico.png"/>
                    <pic:cNvPicPr/>
                  </pic:nvPicPr>
                  <pic:blipFill>
                    <a:blip r:embed="rId19"/>
                    <a:stretch>
                      <a:fillRect/>
                    </a:stretch>
                  </pic:blipFill>
                  <pic:spPr>
                    <a:xfrm>
                      <a:off x="0" y="0"/>
                      <a:ext cx="5943600" cy="4654988"/>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herramienta de modelado de bases de datos, a partir del esquema implementado en PostgreSQL. Cada entidad muestra sus columnas con el tipo de dato real; las llaves primarias (PK) encabezan cada tabla y las llaves foráneas (FK) establecen las relaciones.</w:t>
      </w:r>
    </w:p>
    <w:p>
      <w:pPr>
        <w:keepNext/>
        <w:spacing w:line="480" w:lineRule="auto" w:before="120" w:after="0"/>
      </w:pPr>
      <w:r>
        <w:rPr>
          <w:rFonts w:ascii="Times New Roman" w:hAnsi="Times New Roman" w:eastAsia="Times New Roman"/>
          <w:b/>
          <w:i/>
          <w:color w:val="404040"/>
          <w:sz w:val="24"/>
        </w:rPr>
        <w:t>2.3.4 Tipos Enumerados (ENUM)</w:t>
      </w:r>
    </w:p>
    <w:p>
      <w:pPr>
        <w:spacing w:line="480" w:lineRule="auto" w:after="0"/>
        <w:ind w:firstLine="720"/>
        <w:jc w:val="both"/>
      </w:pPr>
      <w:r>
        <w:rPr>
          <w:rFonts w:ascii="Times New Roman" w:hAnsi="Times New Roman" w:eastAsia="Times New Roman"/>
          <w:b w:val="0"/>
          <w:i w:val="0"/>
          <w:sz w:val="24"/>
        </w:rPr>
        <w:t>El esquema define varios tipos enumerados que restringen los valores válidos de diversas columnas, garantizando la integridad de los datos. La Tabla 11 resume los principales.</w:t>
      </w:r>
    </w:p>
    <w:p>
      <w:pPr>
        <w:keepNext/>
        <w:spacing w:line="480" w:lineRule="auto" w:before="120"/>
      </w:pPr>
      <w:r>
        <w:rPr>
          <w:rFonts w:ascii="Times New Roman" w:hAnsi="Times New Roman" w:eastAsia="Times New Roman"/>
          <w:b/>
          <w:i w:val="0"/>
          <w:sz w:val="24"/>
        </w:rPr>
        <w:t>Tabla 11</w:t>
      </w:r>
    </w:p>
    <w:p>
      <w:pPr>
        <w:keepNext/>
        <w:spacing w:line="480" w:lineRule="auto"/>
      </w:pPr>
      <w:r>
        <w:rPr>
          <w:rFonts w:ascii="Times New Roman" w:hAnsi="Times New Roman" w:eastAsia="Times New Roman"/>
          <w:b w:val="0"/>
          <w:i/>
          <w:sz w:val="24"/>
        </w:rPr>
        <w:t>Principales tipos enumerados definidos en la base de datos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Tipo enumerado</w:t>
            </w:r>
          </w:p>
        </w:tc>
        <w:tc>
          <w:tcPr>
            <w:tcW w:type="dxa" w:w="648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Valores</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user_role</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 obstetra, admin</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nivel_riesgo</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verde, amarillo, rojo</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estado_gestante</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activa, parto, puerperio, inactiva</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estado_cita</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programada, confirmada, asistida, no_asistida, solicitud_reprogramacion, reprogramada, cancelada</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modalidad_cita</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establecimiento, domiciliaria</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tipo_tratamiento</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acido_folico, sulfato_ferroso, calcio, otro</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estado_tratamiento</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activo, suspendido, completado</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severidad_signo</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leve, moderado, grave</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estado_signo</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pendiente, atendido, derivado</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canal_notificacion</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push, sms, whatsapp</w:t>
            </w:r>
          </w:p>
        </w:tc>
      </w:tr>
      <w:tr>
        <w:tc>
          <w:tcPr>
            <w:tcW w:type="dxa" w:w="28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estado_notificacion</w:t>
            </w:r>
          </w:p>
        </w:tc>
        <w:tc>
          <w:tcPr>
            <w:tcW w:type="dxa" w:w="648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pendiente, enviada, entregada, leida, fallida</w:t>
            </w:r>
          </w:p>
        </w:tc>
      </w:tr>
      <w:tr>
        <w:tc>
          <w:tcPr>
            <w:tcW w:type="dxa" w:w="288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tipo_mensaje</w:t>
            </w:r>
          </w:p>
        </w:tc>
        <w:tc>
          <w:tcPr>
            <w:tcW w:type="dxa" w:w="648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texto, imagen, alerta_emergencia, educacion</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 la definición del esquema en PostgreSQL.</w:t>
      </w:r>
    </w:p>
    <w:p>
      <w:pPr>
        <w:keepNext/>
        <w:spacing w:line="480" w:lineRule="auto" w:before="120" w:after="0"/>
      </w:pPr>
      <w:r>
        <w:rPr>
          <w:rFonts w:ascii="Times New Roman" w:hAnsi="Times New Roman" w:eastAsia="Times New Roman"/>
          <w:b/>
          <w:i/>
          <w:color w:val="404040"/>
          <w:sz w:val="24"/>
        </w:rPr>
        <w:t>2.3.5 Diccionario de Datos</w:t>
      </w:r>
    </w:p>
    <w:p>
      <w:pPr>
        <w:spacing w:line="480" w:lineRule="auto" w:after="0"/>
        <w:ind w:firstLine="720"/>
        <w:jc w:val="both"/>
      </w:pPr>
      <w:r>
        <w:rPr>
          <w:rFonts w:ascii="Times New Roman" w:hAnsi="Times New Roman" w:eastAsia="Times New Roman"/>
          <w:b w:val="0"/>
          <w:i w:val="0"/>
          <w:sz w:val="24"/>
        </w:rPr>
        <w:t>El diccionario de datos documenta de forma exhaustiva cada campo, su tipo de dato y sus restricciones. A modo de ejemplo, las Tablas 12 a 14 presentan el diccionario de las tres entidades centrales del sistema: gestantes, controles prenatales y registro de suplementos.</w:t>
      </w:r>
    </w:p>
    <w:p>
      <w:pPr>
        <w:keepNext/>
        <w:spacing w:line="480" w:lineRule="auto" w:before="120"/>
      </w:pPr>
      <w:r>
        <w:rPr>
          <w:rFonts w:ascii="Times New Roman" w:hAnsi="Times New Roman" w:eastAsia="Times New Roman"/>
          <w:b/>
          <w:i w:val="0"/>
          <w:sz w:val="24"/>
        </w:rPr>
        <w:t>Tabla 12</w:t>
      </w:r>
    </w:p>
    <w:p>
      <w:pPr>
        <w:keepNext/>
        <w:spacing w:line="480" w:lineRule="auto"/>
      </w:pPr>
      <w:r>
        <w:rPr>
          <w:rFonts w:ascii="Times New Roman" w:hAnsi="Times New Roman" w:eastAsia="Times New Roman"/>
          <w:b w:val="0"/>
          <w:i/>
          <w:sz w:val="24"/>
        </w:rPr>
        <w:t>Diccionario de datos — entidad gestantes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0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Atributo</w:t>
            </w:r>
          </w:p>
        </w:tc>
        <w:tc>
          <w:tcPr>
            <w:tcW w:type="dxa" w:w="216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Tipo de dato</w:t>
            </w:r>
          </w:p>
        </w:tc>
        <w:tc>
          <w:tcPr>
            <w:tcW w:type="dxa" w:w="115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PK/FK</w:t>
            </w:r>
          </w:p>
        </w:tc>
        <w:tc>
          <w:tcPr>
            <w:tcW w:type="dxa" w:w="374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Descripción</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id</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PK</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Identificador único de la gestante.</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user_id</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FK, UK</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Referencia al usuario asociado (relación 1:1).</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historia_clinica</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VARCHAR(20)</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Número de historia clínica.</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fecha_nacimiento</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DATE</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 de nacimiento de la gestante.</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fum</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DATE</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 de la última menstruación.</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fpp_fum</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DATE</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 probable de parto calculada por la regla de Naegele.</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imc</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DECIMAL(5,2)</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Índice de masa corporal.</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nivel_riesgo</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nivel_riesgo</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Nivel de riesgo calculado (verde, amarillo, rojo).</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estado_gestante</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 de la gestante (activa por defecto).</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created_at</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TIMESTAMPTZ</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 de creación del registro.</w:t>
            </w:r>
          </w:p>
        </w:tc>
      </w:tr>
      <w:tr>
        <w:tc>
          <w:tcPr>
            <w:tcW w:type="dxa" w:w="230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updated_at</w:t>
            </w:r>
          </w:p>
        </w:tc>
        <w:tc>
          <w:tcPr>
            <w:tcW w:type="dxa" w:w="216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TIMESTAMPTZ</w:t>
            </w:r>
          </w:p>
        </w:tc>
        <w:tc>
          <w:tcPr>
            <w:tcW w:type="dxa" w:w="1152"/>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Fecha de última actualización.</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Se omiten columnas antropométricas y de antecedentes por brevedad.</w:t>
      </w:r>
    </w:p>
    <w:p>
      <w:pPr>
        <w:keepNext/>
        <w:spacing w:line="480" w:lineRule="auto" w:before="120"/>
      </w:pPr>
      <w:r>
        <w:rPr>
          <w:rFonts w:ascii="Times New Roman" w:hAnsi="Times New Roman" w:eastAsia="Times New Roman"/>
          <w:b/>
          <w:i w:val="0"/>
          <w:sz w:val="24"/>
        </w:rPr>
        <w:t>Tabla 13</w:t>
      </w:r>
    </w:p>
    <w:p>
      <w:pPr>
        <w:keepNext/>
        <w:spacing w:line="480" w:lineRule="auto"/>
      </w:pPr>
      <w:r>
        <w:rPr>
          <w:rFonts w:ascii="Times New Roman" w:hAnsi="Times New Roman" w:eastAsia="Times New Roman"/>
          <w:b w:val="0"/>
          <w:i/>
          <w:sz w:val="24"/>
        </w:rPr>
        <w:t>Diccionario de datos — entidad prenatal_controls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44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Atributo</w:t>
            </w:r>
          </w:p>
        </w:tc>
        <w:tc>
          <w:tcPr>
            <w:tcW w:type="dxa" w:w="201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Tipo de dato</w:t>
            </w:r>
          </w:p>
        </w:tc>
        <w:tc>
          <w:tcPr>
            <w:tcW w:type="dxa" w:w="115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PK/FK</w:t>
            </w:r>
          </w:p>
        </w:tc>
        <w:tc>
          <w:tcPr>
            <w:tcW w:type="dxa" w:w="374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Descripción</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id</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PK</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Identificador único del control prenatal.</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FK</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 a la que pertenece el control.</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obstetra_id</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FK</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Obstetra que registró el control.</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numero_control</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INTEGER</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Número correlativo del control.</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eg_semanas</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INTEGER</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Edad gestacional en semanas.</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peso</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DECIMAL(5,2)</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Peso de la gestante en el control.</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presion_sistolica</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INTEGER</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Presión arterial sistólica.</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presion_diastolica</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INTEGER</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Presión arterial diastólica.</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fcf</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INTEGER</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Frecuencia cardíaca fetal.</w:t>
            </w:r>
          </w:p>
        </w:tc>
      </w:tr>
      <w:tr>
        <w:tc>
          <w:tcPr>
            <w:tcW w:type="dxa" w:w="244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altura_uterina</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DECIMAL(5,2)</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Altura uterina medida.</w:t>
            </w:r>
          </w:p>
        </w:tc>
      </w:tr>
      <w:tr>
        <w:tc>
          <w:tcPr>
            <w:tcW w:type="dxa" w:w="2448"/>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fecha</w:t>
            </w:r>
          </w:p>
        </w:tc>
        <w:tc>
          <w:tcPr>
            <w:tcW w:type="dxa" w:w="2016"/>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TIMESTAMPTZ</w:t>
            </w:r>
          </w:p>
        </w:tc>
        <w:tc>
          <w:tcPr>
            <w:tcW w:type="dxa" w:w="1152"/>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w:t>
            </w:r>
          </w:p>
        </w:tc>
        <w:tc>
          <w:tcPr>
            <w:tcW w:type="dxa" w:w="374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Fecha del control prenatal.</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El control prenatal dispara el recálculo automático del nivel de riesgo de la gestante.</w:t>
      </w:r>
    </w:p>
    <w:p>
      <w:pPr>
        <w:keepNext/>
        <w:spacing w:line="480" w:lineRule="auto" w:before="120"/>
      </w:pPr>
      <w:r>
        <w:rPr>
          <w:rFonts w:ascii="Times New Roman" w:hAnsi="Times New Roman" w:eastAsia="Times New Roman"/>
          <w:b/>
          <w:i w:val="0"/>
          <w:sz w:val="24"/>
        </w:rPr>
        <w:t>Tabla 14</w:t>
      </w:r>
    </w:p>
    <w:p>
      <w:pPr>
        <w:keepNext/>
        <w:spacing w:line="480" w:lineRule="auto"/>
      </w:pPr>
      <w:r>
        <w:rPr>
          <w:rFonts w:ascii="Times New Roman" w:hAnsi="Times New Roman" w:eastAsia="Times New Roman"/>
          <w:b w:val="0"/>
          <w:i/>
          <w:sz w:val="24"/>
        </w:rPr>
        <w:t>Diccionario de datos — entidad supplement_logs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0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Atributo</w:t>
            </w:r>
          </w:p>
        </w:tc>
        <w:tc>
          <w:tcPr>
            <w:tcW w:type="dxa" w:w="201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Tipo de dato</w:t>
            </w:r>
          </w:p>
        </w:tc>
        <w:tc>
          <w:tcPr>
            <w:tcW w:type="dxa" w:w="115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PK/FK</w:t>
            </w:r>
          </w:p>
        </w:tc>
        <w:tc>
          <w:tcPr>
            <w:tcW w:type="dxa" w:w="388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Descripción</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id</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PK</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Identificador único del registro de toma.</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treatment_id</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FK</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Tratamiento al que pertenece la toma.</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UUID</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FK</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 que registra la toma.</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DATE</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 a la que corresponde la toma.</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tomado</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BOOLEAN</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Indica si el suplemento fue tomado ese día.</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hora_registro</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TIMESTAMPTZ</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Fecha y hora exactas del registro.</w:t>
            </w:r>
          </w:p>
        </w:tc>
      </w:tr>
      <w:tr>
        <w:tc>
          <w:tcPr>
            <w:tcW w:type="dxa" w:w="230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notas</w:t>
            </w:r>
          </w:p>
        </w:tc>
        <w:tc>
          <w:tcPr>
            <w:tcW w:type="dxa" w:w="201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TEXT</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Observación opcional asociada a la toma.</w:t>
            </w:r>
          </w:p>
        </w:tc>
      </w:tr>
      <w:tr>
        <w:tc>
          <w:tcPr>
            <w:tcW w:type="dxa" w:w="230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created_at</w:t>
            </w:r>
          </w:p>
        </w:tc>
        <w:tc>
          <w:tcPr>
            <w:tcW w:type="dxa" w:w="2016"/>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TIMESTAMPTZ</w:t>
            </w:r>
          </w:p>
        </w:tc>
        <w:tc>
          <w:tcPr>
            <w:tcW w:type="dxa" w:w="1152"/>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w:t>
            </w:r>
          </w:p>
        </w:tc>
        <w:tc>
          <w:tcPr>
            <w:tcW w:type="dxa" w:w="3888"/>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Fecha de creación del registro.</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La combinación de treatment_id y fecha permite identificar de forma idempotente cada toma diaria.</w:t>
      </w:r>
    </w:p>
    <w:p>
      <w:pPr>
        <w:keepNext/>
        <w:spacing w:line="480" w:lineRule="auto" w:before="120" w:after="0"/>
      </w:pPr>
      <w:r>
        <w:rPr>
          <w:rFonts w:ascii="Times New Roman" w:hAnsi="Times New Roman" w:eastAsia="Times New Roman"/>
          <w:b/>
          <w:i/>
          <w:color w:val="404040"/>
          <w:sz w:val="24"/>
        </w:rPr>
        <w:t>2.3.6 Relaciones entre Entidades</w:t>
      </w:r>
    </w:p>
    <w:p>
      <w:pPr>
        <w:spacing w:line="480" w:lineRule="auto" w:after="0"/>
        <w:ind w:firstLine="720"/>
        <w:jc w:val="both"/>
      </w:pPr>
      <w:r>
        <w:rPr>
          <w:rFonts w:ascii="Times New Roman" w:hAnsi="Times New Roman" w:eastAsia="Times New Roman"/>
          <w:b w:val="0"/>
          <w:i w:val="0"/>
          <w:sz w:val="24"/>
        </w:rPr>
        <w:t>La Tabla 15 resume las principales relaciones por llave foránea entre las entidades del sistema, con su acción de borrado.</w:t>
      </w:r>
    </w:p>
    <w:p>
      <w:pPr>
        <w:keepNext/>
        <w:spacing w:line="480" w:lineRule="auto" w:before="120"/>
      </w:pPr>
      <w:r>
        <w:rPr>
          <w:rFonts w:ascii="Times New Roman" w:hAnsi="Times New Roman" w:eastAsia="Times New Roman"/>
          <w:b/>
          <w:i w:val="0"/>
          <w:sz w:val="24"/>
        </w:rPr>
        <w:t>Tabla 15</w:t>
      </w:r>
    </w:p>
    <w:p>
      <w:pPr>
        <w:keepNext/>
        <w:spacing w:line="480" w:lineRule="auto"/>
      </w:pPr>
      <w:r>
        <w:rPr>
          <w:rFonts w:ascii="Times New Roman" w:hAnsi="Times New Roman" w:eastAsia="Times New Roman"/>
          <w:b w:val="0"/>
          <w:i/>
          <w:sz w:val="24"/>
        </w:rPr>
        <w:t>Principales relaciones por llave foránea del esquema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73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Tabla origen</w:t>
            </w:r>
          </w:p>
        </w:tc>
        <w:tc>
          <w:tcPr>
            <w:tcW w:type="dxa" w:w="216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Columna</w:t>
            </w:r>
          </w:p>
        </w:tc>
        <w:tc>
          <w:tcPr>
            <w:tcW w:type="dxa" w:w="273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Tabla destino</w:t>
            </w:r>
          </w:p>
        </w:tc>
        <w:tc>
          <w:tcPr>
            <w:tcW w:type="dxa" w:w="172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ON DELETE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user_id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users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obstetras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user_id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users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antecedentes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appointments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prenatal_controls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treatments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supplement_logs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treatment_id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treatments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lab_results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danger_signs</w:t>
            </w:r>
          </w:p>
        </w:tc>
        <w:tc>
          <w:tcPr>
            <w:tcW w:type="dxa" w:w="216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gestante_id</w:t>
            </w:r>
          </w:p>
        </w:tc>
        <w:tc>
          <w:tcPr>
            <w:tcW w:type="dxa" w:w="2736"/>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gestantes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CASCADE</w:t>
            </w:r>
          </w:p>
        </w:tc>
      </w:tr>
      <w:tr>
        <w:tc>
          <w:tcPr>
            <w:tcW w:type="dxa" w:w="2736"/>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messages</w:t>
            </w:r>
          </w:p>
        </w:tc>
        <w:tc>
          <w:tcPr>
            <w:tcW w:type="dxa" w:w="216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content_id</w:t>
            </w:r>
          </w:p>
        </w:tc>
        <w:tc>
          <w:tcPr>
            <w:tcW w:type="dxa" w:w="2736"/>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educational_content</w:t>
            </w:r>
          </w:p>
        </w:tc>
        <w:tc>
          <w:tcPr>
            <w:tcW w:type="dxa" w:w="1728"/>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SET NULL</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del esquema relacional implementado con Prisma.</w:t>
      </w:r>
    </w:p>
    <w:p>
      <w:r>
        <w:br w:type="page"/>
      </w:r>
    </w:p>
    <w:p>
      <w:pPr>
        <w:keepNext/>
        <w:spacing w:line="480" w:lineRule="auto" w:before="120" w:after="0"/>
      </w:pPr>
      <w:r>
        <w:rPr>
          <w:rFonts w:ascii="Times New Roman" w:hAnsi="Times New Roman" w:eastAsia="Times New Roman"/>
          <w:b/>
          <w:i w:val="0"/>
          <w:color w:val="1F3A5F"/>
          <w:sz w:val="26"/>
        </w:rPr>
        <w:t>3. Codificación</w:t>
      </w:r>
    </w:p>
    <w:p>
      <w:pPr>
        <w:spacing w:line="480" w:lineRule="auto" w:after="0"/>
        <w:ind w:firstLine="720"/>
        <w:jc w:val="both"/>
      </w:pPr>
      <w:r>
        <w:rPr>
          <w:rFonts w:ascii="Times New Roman" w:hAnsi="Times New Roman" w:eastAsia="Times New Roman"/>
          <w:b w:val="0"/>
          <w:i w:val="0"/>
          <w:sz w:val="24"/>
        </w:rPr>
        <w:t>La codificación se basó en estándares sólidos, control de versiones con Git y refactorización continua, principios centrales de XP (Beck &amp; Andres, 2004). Se implementó una arquitectura modular orientada a servicios con una API REST que desacopla el cliente del servidor, y un cerebro clínico que centraliza los cálculos definidos por la normativa del MINSA y la OMS, garantizando que el servidor sea la única fuente de verdad.</w:t>
      </w:r>
    </w:p>
    <w:p>
      <w:pPr>
        <w:keepNext/>
        <w:spacing w:line="480" w:lineRule="auto" w:before="120" w:after="0"/>
      </w:pPr>
      <w:r>
        <w:rPr>
          <w:rFonts w:ascii="Times New Roman" w:hAnsi="Times New Roman" w:eastAsia="Times New Roman"/>
          <w:b/>
          <w:i w:val="0"/>
          <w:color w:val="2E6CB5"/>
          <w:sz w:val="24"/>
        </w:rPr>
        <w:t>3.1 Estructura del Proyecto y Stack Tecnológico</w:t>
      </w:r>
    </w:p>
    <w:p>
      <w:pPr>
        <w:spacing w:line="480" w:lineRule="auto" w:after="0"/>
        <w:ind w:firstLine="720"/>
        <w:jc w:val="both"/>
      </w:pPr>
      <w:r>
        <w:rPr>
          <w:rFonts w:ascii="Times New Roman" w:hAnsi="Times New Roman" w:eastAsia="Times New Roman"/>
          <w:b w:val="0"/>
          <w:i w:val="0"/>
          <w:sz w:val="24"/>
        </w:rPr>
        <w:t>El sistema emplea un patrón cliente-servidor comunicado mediante una API RESTful y un canal WebSocket. La Tabla 16 resume el stack tecnológico con sus versiones.</w:t>
      </w:r>
    </w:p>
    <w:p>
      <w:pPr>
        <w:keepNext/>
        <w:spacing w:line="480" w:lineRule="auto" w:before="120"/>
      </w:pPr>
      <w:r>
        <w:rPr>
          <w:rFonts w:ascii="Times New Roman" w:hAnsi="Times New Roman" w:eastAsia="Times New Roman"/>
          <w:b/>
          <w:i w:val="0"/>
          <w:sz w:val="24"/>
        </w:rPr>
        <w:t>Tabla 16</w:t>
      </w:r>
    </w:p>
    <w:p>
      <w:pPr>
        <w:keepNext/>
        <w:spacing w:line="480" w:lineRule="auto"/>
      </w:pPr>
      <w:r>
        <w:rPr>
          <w:rFonts w:ascii="Times New Roman" w:hAnsi="Times New Roman" w:eastAsia="Times New Roman"/>
          <w:b w:val="0"/>
          <w:i/>
          <w:sz w:val="24"/>
        </w:rPr>
        <w:t>Stack tecnológico del aplicativo VITMATERNA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Capa</w:t>
            </w:r>
          </w:p>
        </w:tc>
        <w:tc>
          <w:tcPr>
            <w:tcW w:type="dxa" w:w="374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Tecnología (versión)</w:t>
            </w:r>
          </w:p>
        </w:tc>
        <w:tc>
          <w:tcPr>
            <w:tcW w:type="dxa" w:w="388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Propósito</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Backend</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Node.js 22, Express 5, TypeScript 5</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API REST, lógica de negocio y tipado estático.</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ORM</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Prisma 6</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Mapeo objeto-relacional y migraciones versionadas.</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Tiempo real</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Socket.IO 4</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Chat clínico, presencia y alertas en tiempo real.</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Base de datos</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PostgreSQL 16</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Persistencia relacional y fuente de verdad.</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Caché</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Redis 7</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Caché y soporte de tareas en segundo plano.</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Frontend</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Expo SDK 56, React Native 0.85, React 19</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Aplicación multiplataforma (Android y web).</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Estado/datos</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Zustand 5, TanStack Query 5</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Estado global y datos del servidor con persistencia offline.</w:t>
            </w:r>
          </w:p>
        </w:tc>
      </w:tr>
      <w:tr>
        <w:tc>
          <w:tcPr>
            <w:tcW w:type="dxa" w:w="17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Seguridad</w:t>
            </w:r>
          </w:p>
        </w:tc>
        <w:tc>
          <w:tcPr>
            <w:tcW w:type="dxa" w:w="374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JWT (jsonwebtoken), bcrypt, expo-secure-store</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Autenticación, hashing y almacenamiento cifrado de tokens.</w:t>
            </w:r>
          </w:p>
        </w:tc>
      </w:tr>
      <w:tr>
        <w:tc>
          <w:tcPr>
            <w:tcW w:type="dxa" w:w="1728"/>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Despliegue</w:t>
            </w:r>
          </w:p>
        </w:tc>
        <w:tc>
          <w:tcPr>
            <w:tcW w:type="dxa" w:w="374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Docker, Docker Compose, Nginx</w:t>
            </w:r>
          </w:p>
        </w:tc>
        <w:tc>
          <w:tcPr>
            <w:tcW w:type="dxa" w:w="3888"/>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Contenerización y servicio en producción.</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 los archivos de dependencias del proyecto (package.json del backend y del frontend).</w:t>
      </w:r>
    </w:p>
    <w:p>
      <w:pPr>
        <w:spacing w:line="480" w:lineRule="auto" w:after="0"/>
        <w:ind w:firstLine="720"/>
        <w:jc w:val="both"/>
      </w:pPr>
      <w:r>
        <w:rPr>
          <w:rFonts w:ascii="Times New Roman" w:hAnsi="Times New Roman" w:eastAsia="Times New Roman"/>
          <w:b w:val="0"/>
          <w:i w:val="0"/>
          <w:sz w:val="24"/>
        </w:rPr>
        <w:t>La organización del código del backend sigue una estructura modular por dominio, donde cada módulo agrupa sus rutas, su controlador, su servicio y sus esquemas de validación, como se muestra en la Figura 12.</w:t>
      </w:r>
    </w:p>
    <w:p>
      <w:pPr>
        <w:keepNext/>
        <w:spacing w:line="480" w:lineRule="auto" w:before="120"/>
      </w:pPr>
      <w:r>
        <w:rPr>
          <w:rFonts w:ascii="Times New Roman" w:hAnsi="Times New Roman" w:eastAsia="Times New Roman"/>
          <w:b/>
          <w:i w:val="0"/>
          <w:sz w:val="24"/>
        </w:rPr>
        <w:t>Figura 12</w:t>
      </w:r>
    </w:p>
    <w:p>
      <w:pPr>
        <w:keepNext/>
        <w:spacing w:line="480" w:lineRule="auto"/>
      </w:pPr>
      <w:r>
        <w:rPr>
          <w:rFonts w:ascii="Times New Roman" w:hAnsi="Times New Roman" w:eastAsia="Times New Roman"/>
          <w:b w:val="0"/>
          <w:i/>
          <w:sz w:val="24"/>
        </w:rPr>
        <w:t>Árbol de estructura del backend (Express + TypeScript)</w:t>
      </w:r>
    </w:p>
    <w:p>
      <w:pPr>
        <w:keepNext/>
        <w:spacing w:line="240" w:lineRule="auto" w:before="80" w:after="80"/>
        <w:jc w:val="center"/>
      </w:pPr>
      <w:r>
        <w:drawing>
          <wp:inline xmlns:a="http://schemas.openxmlformats.org/drawingml/2006/main" xmlns:pic="http://schemas.openxmlformats.org/drawingml/2006/picture">
            <wp:extent cx="4198873" cy="7315199"/>
            <wp:docPr id="12" name="Picture 12"/>
            <wp:cNvGraphicFramePr>
              <a:graphicFrameLocks noChangeAspect="1"/>
            </wp:cNvGraphicFramePr>
            <a:graphic>
              <a:graphicData uri="http://schemas.openxmlformats.org/drawingml/2006/picture">
                <pic:pic>
                  <pic:nvPicPr>
                    <pic:cNvPr id="0" name="fig_tree_backend.png"/>
                    <pic:cNvPicPr/>
                  </pic:nvPicPr>
                  <pic:blipFill>
                    <a:blip r:embed="rId20"/>
                    <a:stretch>
                      <a:fillRect/>
                    </a:stretch>
                  </pic:blipFill>
                  <pic:spPr>
                    <a:xfrm>
                      <a:off x="0" y="0"/>
                      <a:ext cx="4198873" cy="7315199"/>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visualizada en el explorador de Visual Studio Code. La estructura modular por dominio —donde cada módulo agrupa su controlador, su servicio y sus esquemas— facilitó el desarrollo iterativo y la refactorización continua propios de XP.</w:t>
      </w:r>
    </w:p>
    <w:p>
      <w:pPr>
        <w:spacing w:line="480" w:lineRule="auto" w:after="0"/>
        <w:ind w:firstLine="720"/>
        <w:jc w:val="both"/>
      </w:pPr>
      <w:r>
        <w:rPr>
          <w:rFonts w:ascii="Times New Roman" w:hAnsi="Times New Roman" w:eastAsia="Times New Roman"/>
          <w:b w:val="0"/>
          <w:i w:val="0"/>
          <w:sz w:val="24"/>
        </w:rPr>
        <w:t>El frontend, construido con Expo y React Native, sigue una organización por rol y características, con un sistema offline-first, como se muestra en la Figura 13.</w:t>
      </w:r>
    </w:p>
    <w:p>
      <w:pPr>
        <w:keepNext/>
        <w:spacing w:line="480" w:lineRule="auto" w:before="120"/>
      </w:pPr>
      <w:r>
        <w:rPr>
          <w:rFonts w:ascii="Times New Roman" w:hAnsi="Times New Roman" w:eastAsia="Times New Roman"/>
          <w:b/>
          <w:i w:val="0"/>
          <w:sz w:val="24"/>
        </w:rPr>
        <w:t>Figura 13</w:t>
      </w:r>
    </w:p>
    <w:p>
      <w:pPr>
        <w:keepNext/>
        <w:spacing w:line="480" w:lineRule="auto"/>
      </w:pPr>
      <w:r>
        <w:rPr>
          <w:rFonts w:ascii="Times New Roman" w:hAnsi="Times New Roman" w:eastAsia="Times New Roman"/>
          <w:b w:val="0"/>
          <w:i/>
          <w:sz w:val="24"/>
        </w:rPr>
        <w:t>Árbol de estructura del frontend (Expo / React Native)</w:t>
      </w:r>
    </w:p>
    <w:p>
      <w:pPr>
        <w:keepNext/>
        <w:spacing w:line="240" w:lineRule="auto" w:before="80" w:after="80"/>
        <w:jc w:val="center"/>
      </w:pPr>
      <w:r>
        <w:drawing>
          <wp:inline xmlns:a="http://schemas.openxmlformats.org/drawingml/2006/main" xmlns:pic="http://schemas.openxmlformats.org/drawingml/2006/picture">
            <wp:extent cx="4206240" cy="5887448"/>
            <wp:docPr id="13" name="Picture 13"/>
            <wp:cNvGraphicFramePr>
              <a:graphicFrameLocks noChangeAspect="1"/>
            </wp:cNvGraphicFramePr>
            <a:graphic>
              <a:graphicData uri="http://schemas.openxmlformats.org/drawingml/2006/picture">
                <pic:pic>
                  <pic:nvPicPr>
                    <pic:cNvPr id="0" name="fig_tree_frontend.png"/>
                    <pic:cNvPicPr/>
                  </pic:nvPicPr>
                  <pic:blipFill>
                    <a:blip r:embed="rId21"/>
                    <a:stretch>
                      <a:fillRect/>
                    </a:stretch>
                  </pic:blipFill>
                  <pic:spPr>
                    <a:xfrm>
                      <a:off x="0" y="0"/>
                      <a:ext cx="4206240" cy="5887448"/>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visualizada en el explorador de Visual Studio Code. La cola offline (outbox) y la caché de consultas implementan la estrategia offline-first del cliente; las rutas se organizan por rol mediante expo-router.</w:t>
      </w:r>
    </w:p>
    <w:p>
      <w:pPr>
        <w:keepNext/>
        <w:spacing w:line="480" w:lineRule="auto" w:before="120" w:after="0"/>
      </w:pPr>
      <w:r>
        <w:rPr>
          <w:rFonts w:ascii="Times New Roman" w:hAnsi="Times New Roman" w:eastAsia="Times New Roman"/>
          <w:b/>
          <w:i w:val="0"/>
          <w:color w:val="2E6CB5"/>
          <w:sz w:val="24"/>
        </w:rPr>
        <w:t>3.2 Fragmentos de Código Principales</w:t>
      </w:r>
    </w:p>
    <w:p>
      <w:pPr>
        <w:spacing w:line="480" w:lineRule="auto" w:after="0"/>
        <w:ind w:firstLine="720"/>
        <w:jc w:val="both"/>
      </w:pPr>
      <w:r>
        <w:rPr>
          <w:rFonts w:ascii="Times New Roman" w:hAnsi="Times New Roman" w:eastAsia="Times New Roman"/>
          <w:b w:val="0"/>
          <w:i w:val="0"/>
          <w:sz w:val="24"/>
        </w:rPr>
        <w:t>A continuación se presentan fragmentos representativos del código fuente del sistema. El Código de la Figura 14 muestra la corrección de la hemoglobina por altitud y la clasificación de la anemia, indispensable en un establecimiento situado a 2 926 metros sobre el nivel del mar, e implementa el requerimiento RF-005.</w:t>
      </w:r>
    </w:p>
    <w:p>
      <w:pPr>
        <w:keepNext/>
        <w:spacing w:line="480" w:lineRule="auto" w:before="120"/>
      </w:pPr>
      <w:r>
        <w:rPr>
          <w:rFonts w:ascii="Times New Roman" w:hAnsi="Times New Roman" w:eastAsia="Times New Roman"/>
          <w:b/>
          <w:i w:val="0"/>
          <w:sz w:val="24"/>
        </w:rPr>
        <w:t>Figura 14</w:t>
      </w:r>
    </w:p>
    <w:p>
      <w:pPr>
        <w:keepNext/>
        <w:spacing w:line="480" w:lineRule="auto"/>
      </w:pPr>
      <w:r>
        <w:rPr>
          <w:rFonts w:ascii="Times New Roman" w:hAnsi="Times New Roman" w:eastAsia="Times New Roman"/>
          <w:b w:val="0"/>
          <w:i/>
          <w:sz w:val="24"/>
        </w:rPr>
        <w:t>Corrección de hemoglobina por altitud (hemoglobinCorrection.ts)</w:t>
      </w:r>
    </w:p>
    <w:p>
      <w:pPr>
        <w:keepNext/>
        <w:spacing w:line="240" w:lineRule="auto" w:before="80" w:after="80"/>
        <w:jc w:val="center"/>
      </w:pPr>
      <w:r>
        <w:drawing>
          <wp:inline xmlns:a="http://schemas.openxmlformats.org/drawingml/2006/main" xmlns:pic="http://schemas.openxmlformats.org/drawingml/2006/picture">
            <wp:extent cx="5669280" cy="1943553"/>
            <wp:docPr id="14" name="Picture 14"/>
            <wp:cNvGraphicFramePr>
              <a:graphicFrameLocks noChangeAspect="1"/>
            </wp:cNvGraphicFramePr>
            <a:graphic>
              <a:graphicData uri="http://schemas.openxmlformats.org/drawingml/2006/picture">
                <pic:pic>
                  <pic:nvPicPr>
                    <pic:cNvPr id="0" name="code_hemoglobina.png"/>
                    <pic:cNvPicPr/>
                  </pic:nvPicPr>
                  <pic:blipFill>
                    <a:blip r:embed="rId22"/>
                    <a:stretch>
                      <a:fillRect/>
                    </a:stretch>
                  </pic:blipFill>
                  <pic:spPr>
                    <a:xfrm>
                      <a:off x="0" y="0"/>
                      <a:ext cx="5669280" cy="1943553"/>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El factor de corrección es negativo y depende de la altitud; la clasificación de la anemia se realiza sobre la hemoglobina ya corregida, según los criterios del MINSA (2013).</w:t>
      </w:r>
    </w:p>
    <w:p>
      <w:pPr>
        <w:spacing w:line="480" w:lineRule="auto" w:after="0"/>
        <w:ind w:firstLine="720"/>
        <w:jc w:val="both"/>
      </w:pPr>
      <w:r>
        <w:rPr>
          <w:rFonts w:ascii="Times New Roman" w:hAnsi="Times New Roman" w:eastAsia="Times New Roman"/>
          <w:b w:val="0"/>
          <w:i w:val="0"/>
          <w:sz w:val="24"/>
        </w:rPr>
        <w:t>El Código de la Figura 15 muestra el cálculo automático del nivel de riesgo, que asigna un puntaje a cada factor clínico y determina el color del semáforo (RF-004). Este cálculo se ejecuta en el servidor al registrarse cada control, laboratorio o antecedente.</w:t>
      </w:r>
    </w:p>
    <w:p>
      <w:pPr>
        <w:keepNext/>
        <w:spacing w:line="480" w:lineRule="auto" w:before="120"/>
      </w:pPr>
      <w:r>
        <w:rPr>
          <w:rFonts w:ascii="Times New Roman" w:hAnsi="Times New Roman" w:eastAsia="Times New Roman"/>
          <w:b/>
          <w:i w:val="0"/>
          <w:sz w:val="24"/>
        </w:rPr>
        <w:t>Figura 15</w:t>
      </w:r>
    </w:p>
    <w:p>
      <w:pPr>
        <w:keepNext/>
        <w:spacing w:line="480" w:lineRule="auto"/>
      </w:pPr>
      <w:r>
        <w:rPr>
          <w:rFonts w:ascii="Times New Roman" w:hAnsi="Times New Roman" w:eastAsia="Times New Roman"/>
          <w:b w:val="0"/>
          <w:i/>
          <w:sz w:val="24"/>
        </w:rPr>
        <w:t>Cálculo automático del nivel de riesgo (riskCalculator.ts)</w:t>
      </w:r>
    </w:p>
    <w:p>
      <w:pPr>
        <w:keepNext/>
        <w:spacing w:line="240" w:lineRule="auto" w:before="80" w:after="80"/>
        <w:jc w:val="center"/>
      </w:pPr>
      <w:r>
        <w:drawing>
          <wp:inline xmlns:a="http://schemas.openxmlformats.org/drawingml/2006/main" xmlns:pic="http://schemas.openxmlformats.org/drawingml/2006/picture">
            <wp:extent cx="5669280" cy="2272434"/>
            <wp:docPr id="15" name="Picture 15"/>
            <wp:cNvGraphicFramePr>
              <a:graphicFrameLocks noChangeAspect="1"/>
            </wp:cNvGraphicFramePr>
            <a:graphic>
              <a:graphicData uri="http://schemas.openxmlformats.org/drawingml/2006/picture">
                <pic:pic>
                  <pic:nvPicPr>
                    <pic:cNvPr id="0" name="code_riesgo.png"/>
                    <pic:cNvPicPr/>
                  </pic:nvPicPr>
                  <pic:blipFill>
                    <a:blip r:embed="rId23"/>
                    <a:stretch>
                      <a:fillRect/>
                    </a:stretch>
                  </pic:blipFill>
                  <pic:spPr>
                    <a:xfrm>
                      <a:off x="0" y="0"/>
                      <a:ext cx="5669280" cy="2272434"/>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El nivel de riesgo resulta de la suma de los puntajes de cada factor clínico; un puntaje igual o mayor a cuatro clasifica a la gestante en riesgo alto (rojo).</w:t>
      </w:r>
    </w:p>
    <w:p>
      <w:pPr>
        <w:spacing w:line="480" w:lineRule="auto" w:after="0"/>
        <w:ind w:firstLine="720"/>
        <w:jc w:val="both"/>
      </w:pPr>
      <w:r>
        <w:rPr>
          <w:rFonts w:ascii="Times New Roman" w:hAnsi="Times New Roman" w:eastAsia="Times New Roman"/>
          <w:b w:val="0"/>
          <w:i w:val="0"/>
          <w:sz w:val="24"/>
        </w:rPr>
        <w:t>El Código de la Figura 16 muestra el middleware de autenticación, que verifica el token JWT en cada solicitud protegida y adjunta la identidad del usuario a la petición, materializando el requerimiento RNF-001.</w:t>
      </w:r>
    </w:p>
    <w:p>
      <w:pPr>
        <w:keepNext/>
        <w:spacing w:line="480" w:lineRule="auto" w:before="120"/>
      </w:pPr>
      <w:r>
        <w:rPr>
          <w:rFonts w:ascii="Times New Roman" w:hAnsi="Times New Roman" w:eastAsia="Times New Roman"/>
          <w:b/>
          <w:i w:val="0"/>
          <w:sz w:val="24"/>
        </w:rPr>
        <w:t>Figura 16</w:t>
      </w:r>
    </w:p>
    <w:p>
      <w:pPr>
        <w:keepNext/>
        <w:spacing w:line="480" w:lineRule="auto"/>
      </w:pPr>
      <w:r>
        <w:rPr>
          <w:rFonts w:ascii="Times New Roman" w:hAnsi="Times New Roman" w:eastAsia="Times New Roman"/>
          <w:b w:val="0"/>
          <w:i/>
          <w:sz w:val="24"/>
        </w:rPr>
        <w:t>Middleware de autenticación JWT (auth.middleware.ts)</w:t>
      </w:r>
    </w:p>
    <w:p>
      <w:pPr>
        <w:keepNext/>
        <w:spacing w:line="240" w:lineRule="auto" w:before="80" w:after="80"/>
        <w:jc w:val="center"/>
      </w:pPr>
      <w:r>
        <w:drawing>
          <wp:inline xmlns:a="http://schemas.openxmlformats.org/drawingml/2006/main" xmlns:pic="http://schemas.openxmlformats.org/drawingml/2006/picture">
            <wp:extent cx="5669280" cy="2395374"/>
            <wp:docPr id="16" name="Picture 16"/>
            <wp:cNvGraphicFramePr>
              <a:graphicFrameLocks noChangeAspect="1"/>
            </wp:cNvGraphicFramePr>
            <a:graphic>
              <a:graphicData uri="http://schemas.openxmlformats.org/drawingml/2006/picture">
                <pic:pic>
                  <pic:nvPicPr>
                    <pic:cNvPr id="0" name="code_auth.png"/>
                    <pic:cNvPicPr/>
                  </pic:nvPicPr>
                  <pic:blipFill>
                    <a:blip r:embed="rId24"/>
                    <a:stretch>
                      <a:fillRect/>
                    </a:stretch>
                  </pic:blipFill>
                  <pic:spPr>
                    <a:xfrm>
                      <a:off x="0" y="0"/>
                      <a:ext cx="5669280" cy="2395374"/>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El middleware rechaza las solicitudes sin token válido y distingue entre un token expirado y uno inválido para devolver el código de error apropiado.</w:t>
      </w:r>
    </w:p>
    <w:p>
      <w:pPr>
        <w:spacing w:line="480" w:lineRule="auto" w:after="0"/>
        <w:ind w:firstLine="720"/>
        <w:jc w:val="both"/>
      </w:pPr>
      <w:r>
        <w:rPr>
          <w:rFonts w:ascii="Times New Roman" w:hAnsi="Times New Roman" w:eastAsia="Times New Roman"/>
          <w:b w:val="0"/>
          <w:i w:val="0"/>
          <w:sz w:val="24"/>
        </w:rPr>
        <w:t>El Código de la Figura 17 muestra el cálculo único de la adherencia a la suplementación, definido como el cociente entre los días con toma registrada y los días esperados (RF-009). Centralizar esta fórmula garantiza que todos los módulos reporten el mismo valor.</w:t>
      </w:r>
    </w:p>
    <w:p>
      <w:pPr>
        <w:keepNext/>
        <w:spacing w:line="480" w:lineRule="auto" w:before="120"/>
      </w:pPr>
      <w:r>
        <w:rPr>
          <w:rFonts w:ascii="Times New Roman" w:hAnsi="Times New Roman" w:eastAsia="Times New Roman"/>
          <w:b/>
          <w:i w:val="0"/>
          <w:sz w:val="24"/>
        </w:rPr>
        <w:t>Figura 17</w:t>
      </w:r>
    </w:p>
    <w:p>
      <w:pPr>
        <w:keepNext/>
        <w:spacing w:line="480" w:lineRule="auto"/>
      </w:pPr>
      <w:r>
        <w:rPr>
          <w:rFonts w:ascii="Times New Roman" w:hAnsi="Times New Roman" w:eastAsia="Times New Roman"/>
          <w:b w:val="0"/>
          <w:i/>
          <w:sz w:val="24"/>
        </w:rPr>
        <w:t>Cálculo único de la adherencia a la suplementación (adherence.ts)</w:t>
      </w:r>
    </w:p>
    <w:p>
      <w:pPr>
        <w:keepNext/>
        <w:spacing w:line="240" w:lineRule="auto" w:before="80" w:after="80"/>
        <w:jc w:val="center"/>
      </w:pPr>
      <w:r>
        <w:drawing>
          <wp:inline xmlns:a="http://schemas.openxmlformats.org/drawingml/2006/main" xmlns:pic="http://schemas.openxmlformats.org/drawingml/2006/picture">
            <wp:extent cx="5669280" cy="1939058"/>
            <wp:docPr id="17" name="Picture 17"/>
            <wp:cNvGraphicFramePr>
              <a:graphicFrameLocks noChangeAspect="1"/>
            </wp:cNvGraphicFramePr>
            <a:graphic>
              <a:graphicData uri="http://schemas.openxmlformats.org/drawingml/2006/picture">
                <pic:pic>
                  <pic:nvPicPr>
                    <pic:cNvPr id="0" name="code_adherencia.png"/>
                    <pic:cNvPicPr/>
                  </pic:nvPicPr>
                  <pic:blipFill>
                    <a:blip r:embed="rId25"/>
                    <a:stretch>
                      <a:fillRect/>
                    </a:stretch>
                  </pic:blipFill>
                  <pic:spPr>
                    <a:xfrm>
                      <a:off x="0" y="0"/>
                      <a:ext cx="5669280" cy="1939058"/>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El umbral de buena adherencia se fija en 80 %, conforme al estándar de la literatura sobre suplementación con hierro y ácido fólico.</w:t>
      </w:r>
    </w:p>
    <w:p>
      <w:pPr>
        <w:keepNext/>
        <w:spacing w:line="480" w:lineRule="auto" w:before="120" w:after="0"/>
      </w:pPr>
      <w:r>
        <w:rPr>
          <w:rFonts w:ascii="Times New Roman" w:hAnsi="Times New Roman" w:eastAsia="Times New Roman"/>
          <w:b/>
          <w:i w:val="0"/>
          <w:color w:val="2E6CB5"/>
          <w:sz w:val="24"/>
        </w:rPr>
        <w:t>3.3 Interfaces de Usuario Desarrolladas</w:t>
      </w:r>
    </w:p>
    <w:p>
      <w:pPr>
        <w:spacing w:line="480" w:lineRule="auto" w:after="0"/>
        <w:ind w:firstLine="720"/>
        <w:jc w:val="both"/>
      </w:pPr>
      <w:r>
        <w:rPr>
          <w:rFonts w:ascii="Times New Roman" w:hAnsi="Times New Roman" w:eastAsia="Times New Roman"/>
          <w:b w:val="0"/>
          <w:i w:val="0"/>
          <w:sz w:val="24"/>
        </w:rPr>
        <w:t>Como resultado de la codificación se construyeron las interfaces de usuario del sistema, diseñadas con un sistema de diseño coherente y adaptabilidad a distintos tamaños de pantalla, priorizando la usabilidad para usuarias con distintos niveles de alfabetización digital (RNF-002). La Figura 18 muestra la pantalla de inicio de sesión.</w:t>
      </w:r>
    </w:p>
    <w:p>
      <w:pPr>
        <w:keepNext/>
        <w:spacing w:line="480" w:lineRule="auto" w:before="120"/>
      </w:pPr>
      <w:r>
        <w:rPr>
          <w:rFonts w:ascii="Times New Roman" w:hAnsi="Times New Roman" w:eastAsia="Times New Roman"/>
          <w:b/>
          <w:i w:val="0"/>
          <w:sz w:val="24"/>
        </w:rPr>
        <w:t>Figura 18</w:t>
      </w:r>
    </w:p>
    <w:p>
      <w:pPr>
        <w:keepNext/>
        <w:spacing w:line="480" w:lineRule="auto"/>
      </w:pPr>
      <w:r>
        <w:rPr>
          <w:rFonts w:ascii="Times New Roman" w:hAnsi="Times New Roman" w:eastAsia="Times New Roman"/>
          <w:b w:val="0"/>
          <w:i/>
          <w:sz w:val="24"/>
        </w:rPr>
        <w:t>Interfaz de inicio de sesión del aplicativo VITMATERNA</w:t>
      </w:r>
    </w:p>
    <w:p>
      <w:pPr>
        <w:keepNext/>
        <w:spacing w:line="240" w:lineRule="auto" w:before="80" w:after="80"/>
        <w:jc w:val="center"/>
      </w:pPr>
      <w:r>
        <w:drawing>
          <wp:inline xmlns:a="http://schemas.openxmlformats.org/drawingml/2006/main" xmlns:pic="http://schemas.openxmlformats.org/drawingml/2006/picture">
            <wp:extent cx="2377440" cy="4702146"/>
            <wp:docPr id="18" name="Picture 18"/>
            <wp:cNvGraphicFramePr>
              <a:graphicFrameLocks noChangeAspect="1"/>
            </wp:cNvGraphicFramePr>
            <a:graphic>
              <a:graphicData uri="http://schemas.openxmlformats.org/drawingml/2006/picture">
                <pic:pic>
                  <pic:nvPicPr>
                    <pic:cNvPr id="0" name="01_login.png"/>
                    <pic:cNvPicPr/>
                  </pic:nvPicPr>
                  <pic:blipFill>
                    <a:blip r:embed="rId26"/>
                    <a:stretch>
                      <a:fillRect/>
                    </a:stretch>
                  </pic:blipFill>
                  <pic:spPr>
                    <a:xfrm>
                      <a:off x="0" y="0"/>
                      <a:ext cx="2377440" cy="4702146"/>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 de la interfaz de autenticación por DNI y contraseña (RF-001, HU-01). Desde esta pantalla la usuaria también puede registrarse o recuperar su contraseña.</w:t>
      </w:r>
    </w:p>
    <w:p>
      <w:pPr>
        <w:spacing w:line="480" w:lineRule="auto" w:after="0"/>
        <w:ind w:firstLine="720"/>
        <w:jc w:val="both"/>
      </w:pPr>
      <w:r>
        <w:rPr>
          <w:rFonts w:ascii="Times New Roman" w:hAnsi="Times New Roman" w:eastAsia="Times New Roman"/>
          <w:b w:val="0"/>
          <w:i w:val="0"/>
          <w:sz w:val="24"/>
        </w:rPr>
        <w:t>La Figura 19 presenta la pantalla de inicio y la gestión de citas del rol gestante, donde se visualiza el estado del embarazo, el semáforo de riesgo y la próxima cita (RF-003, HU-03).</w:t>
      </w:r>
    </w:p>
    <w:p>
      <w:pPr>
        <w:keepNext/>
        <w:spacing w:line="480" w:lineRule="auto" w:before="120"/>
      </w:pPr>
      <w:r>
        <w:rPr>
          <w:rFonts w:ascii="Times New Roman" w:hAnsi="Times New Roman" w:eastAsia="Times New Roman"/>
          <w:b/>
          <w:i w:val="0"/>
          <w:sz w:val="24"/>
        </w:rPr>
        <w:t>Figura 19</w:t>
      </w:r>
    </w:p>
    <w:p>
      <w:pPr>
        <w:keepNext/>
        <w:spacing w:line="480" w:lineRule="auto"/>
      </w:pPr>
      <w:r>
        <w:rPr>
          <w:rFonts w:ascii="Times New Roman" w:hAnsi="Times New Roman" w:eastAsia="Times New Roman"/>
          <w:b w:val="0"/>
          <w:i/>
          <w:sz w:val="24"/>
        </w:rPr>
        <w:t>Interfaz de inicio y de citas del rol gestante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19" name="Picture 19"/>
                  <wp:cNvGraphicFramePr>
                    <a:graphicFrameLocks noChangeAspect="1"/>
                  </wp:cNvGraphicFramePr>
                  <a:graphic>
                    <a:graphicData uri="http://schemas.openxmlformats.org/drawingml/2006/picture">
                      <pic:pic>
                        <pic:nvPicPr>
                          <pic:cNvPr id="0" name="ges_01_inicio.png"/>
                          <pic:cNvPicPr/>
                        </pic:nvPicPr>
                        <pic:blipFill>
                          <a:blip r:embed="rId27"/>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0" name="Picture 20"/>
                  <wp:cNvGraphicFramePr>
                    <a:graphicFrameLocks noChangeAspect="1"/>
                  </wp:cNvGraphicFramePr>
                  <a:graphic>
                    <a:graphicData uri="http://schemas.openxmlformats.org/drawingml/2006/picture">
                      <pic:pic>
                        <pic:nvPicPr>
                          <pic:cNvPr id="0" name="ges_02_citas.png"/>
                          <pic:cNvPicPr/>
                        </pic:nvPicPr>
                        <pic:blipFill>
                          <a:blip r:embed="rId28"/>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el panel de inicio con el estado del embarazo, el semáforo de riesgo y las acciones rápidas; a la derecha, la gestión de las citas prenatales (RF-007).</w:t>
      </w:r>
    </w:p>
    <w:p>
      <w:pPr>
        <w:spacing w:line="480" w:lineRule="auto" w:after="0"/>
        <w:ind w:firstLine="720"/>
        <w:jc w:val="both"/>
      </w:pPr>
      <w:r>
        <w:rPr>
          <w:rFonts w:ascii="Times New Roman" w:hAnsi="Times New Roman" w:eastAsia="Times New Roman"/>
          <w:b w:val="0"/>
          <w:i w:val="0"/>
          <w:sz w:val="24"/>
        </w:rPr>
        <w:t>La Figura 20 muestra el registro del tratamiento y el chat clínico, funciones esenciales para los objetivos de la investigación (RF-009 y RF-011, HU-07 y HU-09).</w:t>
      </w:r>
    </w:p>
    <w:p>
      <w:pPr>
        <w:keepNext/>
        <w:spacing w:line="480" w:lineRule="auto" w:before="120"/>
      </w:pPr>
      <w:r>
        <w:rPr>
          <w:rFonts w:ascii="Times New Roman" w:hAnsi="Times New Roman" w:eastAsia="Times New Roman"/>
          <w:b/>
          <w:i w:val="0"/>
          <w:sz w:val="24"/>
        </w:rPr>
        <w:t>Figura 20</w:t>
      </w:r>
    </w:p>
    <w:p>
      <w:pPr>
        <w:keepNext/>
        <w:spacing w:line="480" w:lineRule="auto"/>
      </w:pPr>
      <w:r>
        <w:rPr>
          <w:rFonts w:ascii="Times New Roman" w:hAnsi="Times New Roman" w:eastAsia="Times New Roman"/>
          <w:b w:val="0"/>
          <w:i/>
          <w:sz w:val="24"/>
        </w:rPr>
        <w:t>Interfaz de tratamiento y de chat clínico del rol gestante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1" name="Picture 21"/>
                  <wp:cNvGraphicFramePr>
                    <a:graphicFrameLocks noChangeAspect="1"/>
                  </wp:cNvGraphicFramePr>
                  <a:graphic>
                    <a:graphicData uri="http://schemas.openxmlformats.org/drawingml/2006/picture">
                      <pic:pic>
                        <pic:nvPicPr>
                          <pic:cNvPr id="0" name="ges_03_tratamiento.png"/>
                          <pic:cNvPicPr/>
                        </pic:nvPicPr>
                        <pic:blipFill>
                          <a:blip r:embed="rId29"/>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2" name="Picture 22"/>
                  <wp:cNvGraphicFramePr>
                    <a:graphicFrameLocks noChangeAspect="1"/>
                  </wp:cNvGraphicFramePr>
                  <a:graphic>
                    <a:graphicData uri="http://schemas.openxmlformats.org/drawingml/2006/picture">
                      <pic:pic>
                        <pic:nvPicPr>
                          <pic:cNvPr id="0" name="ges_04_chat.png"/>
                          <pic:cNvPicPr/>
                        </pic:nvPicPr>
                        <pic:blipFill>
                          <a:blip r:embed="rId30"/>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el registro diario de la toma de suplementos; a la derecha, el chat en tiempo real con el obstetra.</w:t>
      </w:r>
    </w:p>
    <w:p>
      <w:pPr>
        <w:spacing w:line="480" w:lineRule="auto" w:after="0"/>
        <w:ind w:firstLine="720"/>
        <w:jc w:val="both"/>
      </w:pPr>
      <w:r>
        <w:rPr>
          <w:rFonts w:ascii="Times New Roman" w:hAnsi="Times New Roman" w:eastAsia="Times New Roman"/>
          <w:b w:val="0"/>
          <w:i w:val="0"/>
          <w:sz w:val="24"/>
        </w:rPr>
        <w:t>La Figura 21 presenta el contenido educativo y el reporte de signos de alarma con geolocalización (RF-012 y RF-010, HU-10 y HU-08).</w:t>
      </w:r>
    </w:p>
    <w:p>
      <w:pPr>
        <w:keepNext/>
        <w:spacing w:line="480" w:lineRule="auto" w:before="120"/>
      </w:pPr>
      <w:r>
        <w:rPr>
          <w:rFonts w:ascii="Times New Roman" w:hAnsi="Times New Roman" w:eastAsia="Times New Roman"/>
          <w:b/>
          <w:i w:val="0"/>
          <w:sz w:val="24"/>
        </w:rPr>
        <w:t>Figura 21</w:t>
      </w:r>
    </w:p>
    <w:p>
      <w:pPr>
        <w:keepNext/>
        <w:spacing w:line="480" w:lineRule="auto"/>
      </w:pPr>
      <w:r>
        <w:rPr>
          <w:rFonts w:ascii="Times New Roman" w:hAnsi="Times New Roman" w:eastAsia="Times New Roman"/>
          <w:b w:val="0"/>
          <w:i/>
          <w:sz w:val="24"/>
        </w:rPr>
        <w:t>Interfaz de contenido educativo y de signos de alarma del rol gestante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3" name="Picture 23"/>
                  <wp:cNvGraphicFramePr>
                    <a:graphicFrameLocks noChangeAspect="1"/>
                  </wp:cNvGraphicFramePr>
                  <a:graphic>
                    <a:graphicData uri="http://schemas.openxmlformats.org/drawingml/2006/picture">
                      <pic:pic>
                        <pic:nvPicPr>
                          <pic:cNvPr id="0" name="ges_05_educacion.png"/>
                          <pic:cNvPicPr/>
                        </pic:nvPicPr>
                        <pic:blipFill>
                          <a:blip r:embed="rId31"/>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4" name="Picture 24"/>
                  <wp:cNvGraphicFramePr>
                    <a:graphicFrameLocks noChangeAspect="1"/>
                  </wp:cNvGraphicFramePr>
                  <a:graphic>
                    <a:graphicData uri="http://schemas.openxmlformats.org/drawingml/2006/picture">
                      <pic:pic>
                        <pic:nvPicPr>
                          <pic:cNvPr id="0" name="ges_06_alarmas.png"/>
                          <pic:cNvPicPr/>
                        </pic:nvPicPr>
                        <pic:blipFill>
                          <a:blip r:embed="rId32"/>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la biblioteca de contenido educativo; a la derecha, el reporte de signos de alarma que activa la alerta al obstetra.</w:t>
      </w:r>
    </w:p>
    <w:p>
      <w:pPr>
        <w:spacing w:line="480" w:lineRule="auto" w:after="0"/>
        <w:ind w:firstLine="720"/>
        <w:jc w:val="both"/>
      </w:pPr>
      <w:r>
        <w:rPr>
          <w:rFonts w:ascii="Times New Roman" w:hAnsi="Times New Roman" w:eastAsia="Times New Roman"/>
          <w:b w:val="0"/>
          <w:i w:val="0"/>
          <w:sz w:val="24"/>
        </w:rPr>
        <w:t>La Figura 22 muestra el panel de inicio y la lista de gestantes del rol obstetra, que resume las pacientes a cargo, las citas del día y las alertas pendientes.</w:t>
      </w:r>
    </w:p>
    <w:p>
      <w:pPr>
        <w:keepNext/>
        <w:spacing w:line="480" w:lineRule="auto" w:before="120"/>
      </w:pPr>
      <w:r>
        <w:rPr>
          <w:rFonts w:ascii="Times New Roman" w:hAnsi="Times New Roman" w:eastAsia="Times New Roman"/>
          <w:b/>
          <w:i w:val="0"/>
          <w:sz w:val="24"/>
        </w:rPr>
        <w:t>Figura 22</w:t>
      </w:r>
    </w:p>
    <w:p>
      <w:pPr>
        <w:keepNext/>
        <w:spacing w:line="480" w:lineRule="auto"/>
      </w:pPr>
      <w:r>
        <w:rPr>
          <w:rFonts w:ascii="Times New Roman" w:hAnsi="Times New Roman" w:eastAsia="Times New Roman"/>
          <w:b w:val="0"/>
          <w:i/>
          <w:sz w:val="24"/>
        </w:rPr>
        <w:t>Interfaz de inicio y de lista de gestantes del rol obstetra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5" name="Picture 25"/>
                  <wp:cNvGraphicFramePr>
                    <a:graphicFrameLocks noChangeAspect="1"/>
                  </wp:cNvGraphicFramePr>
                  <a:graphic>
                    <a:graphicData uri="http://schemas.openxmlformats.org/drawingml/2006/picture">
                      <pic:pic>
                        <pic:nvPicPr>
                          <pic:cNvPr id="0" name="obs_01_inicio.png"/>
                          <pic:cNvPicPr/>
                        </pic:nvPicPr>
                        <pic:blipFill>
                          <a:blip r:embed="rId33"/>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6" name="Picture 26"/>
                  <wp:cNvGraphicFramePr>
                    <a:graphicFrameLocks noChangeAspect="1"/>
                  </wp:cNvGraphicFramePr>
                  <a:graphic>
                    <a:graphicData uri="http://schemas.openxmlformats.org/drawingml/2006/picture">
                      <pic:pic>
                        <pic:nvPicPr>
                          <pic:cNvPr id="0" name="obs_02_gestantes.png"/>
                          <pic:cNvPicPr/>
                        </pic:nvPicPr>
                        <pic:blipFill>
                          <a:blip r:embed="rId34"/>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el panel de trabajo del obstetra; a la derecha, la lista de gestantes asignadas con su nivel de riesgo.</w:t>
      </w:r>
    </w:p>
    <w:p>
      <w:pPr>
        <w:spacing w:line="480" w:lineRule="auto" w:after="0"/>
        <w:ind w:firstLine="720"/>
        <w:jc w:val="both"/>
      </w:pPr>
      <w:r>
        <w:rPr>
          <w:rFonts w:ascii="Times New Roman" w:hAnsi="Times New Roman" w:eastAsia="Times New Roman"/>
          <w:b w:val="0"/>
          <w:i w:val="0"/>
          <w:sz w:val="24"/>
        </w:rPr>
        <w:t>La Figura 23 presenta la agenda de citas y la historia clínica de una gestante de alto riesgo, desde donde el obstetra gestiona los controles (RF-006, RF-007).</w:t>
      </w:r>
    </w:p>
    <w:p>
      <w:pPr>
        <w:keepNext/>
        <w:spacing w:line="480" w:lineRule="auto" w:before="120"/>
      </w:pPr>
      <w:r>
        <w:rPr>
          <w:rFonts w:ascii="Times New Roman" w:hAnsi="Times New Roman" w:eastAsia="Times New Roman"/>
          <w:b/>
          <w:i w:val="0"/>
          <w:sz w:val="24"/>
        </w:rPr>
        <w:t>Figura 23</w:t>
      </w:r>
    </w:p>
    <w:p>
      <w:pPr>
        <w:keepNext/>
        <w:spacing w:line="480" w:lineRule="auto"/>
      </w:pPr>
      <w:r>
        <w:rPr>
          <w:rFonts w:ascii="Times New Roman" w:hAnsi="Times New Roman" w:eastAsia="Times New Roman"/>
          <w:b w:val="0"/>
          <w:i/>
          <w:sz w:val="24"/>
        </w:rPr>
        <w:t>Interfaz de agenda de citas y de historia clínica del rol obstetra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7" name="Picture 27"/>
                  <wp:cNvGraphicFramePr>
                    <a:graphicFrameLocks noChangeAspect="1"/>
                  </wp:cNvGraphicFramePr>
                  <a:graphic>
                    <a:graphicData uri="http://schemas.openxmlformats.org/drawingml/2006/picture">
                      <pic:pic>
                        <pic:nvPicPr>
                          <pic:cNvPr id="0" name="obs_03_agenda.png"/>
                          <pic:cNvPicPr/>
                        </pic:nvPicPr>
                        <pic:blipFill>
                          <a:blip r:embed="rId35"/>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28" name="Picture 28"/>
                  <wp:cNvGraphicFramePr>
                    <a:graphicFrameLocks noChangeAspect="1"/>
                  </wp:cNvGraphicFramePr>
                  <a:graphic>
                    <a:graphicData uri="http://schemas.openxmlformats.org/drawingml/2006/picture">
                      <pic:pic>
                        <pic:nvPicPr>
                          <pic:cNvPr id="0" name="obs_06_historia.png"/>
                          <pic:cNvPicPr/>
                        </pic:nvPicPr>
                        <pic:blipFill>
                          <a:blip r:embed="rId36"/>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la agenda de citas del obstetra; a la derecha, la historia clínica de una gestante clasificada en riesgo alto.</w:t>
      </w:r>
    </w:p>
    <w:p>
      <w:pPr>
        <w:spacing w:line="480" w:lineRule="auto" w:after="0"/>
        <w:ind w:firstLine="720"/>
        <w:jc w:val="both"/>
      </w:pPr>
      <w:r>
        <w:rPr>
          <w:rFonts w:ascii="Times New Roman" w:hAnsi="Times New Roman" w:eastAsia="Times New Roman"/>
          <w:b w:val="0"/>
          <w:i w:val="0"/>
          <w:sz w:val="24"/>
        </w:rPr>
        <w:t>La Figura 24 muestra el módulo de reportes del obstetra, con los indicadores de asistencia y adherencia de sus pacientes (RF-014, HU-11).</w:t>
      </w:r>
    </w:p>
    <w:p>
      <w:pPr>
        <w:keepNext/>
        <w:spacing w:line="480" w:lineRule="auto" w:before="120"/>
      </w:pPr>
      <w:r>
        <w:rPr>
          <w:rFonts w:ascii="Times New Roman" w:hAnsi="Times New Roman" w:eastAsia="Times New Roman"/>
          <w:b/>
          <w:i w:val="0"/>
          <w:sz w:val="24"/>
        </w:rPr>
        <w:t>Figura 24</w:t>
      </w:r>
    </w:p>
    <w:p>
      <w:pPr>
        <w:keepNext/>
        <w:spacing w:line="480" w:lineRule="auto"/>
      </w:pPr>
      <w:r>
        <w:rPr>
          <w:rFonts w:ascii="Times New Roman" w:hAnsi="Times New Roman" w:eastAsia="Times New Roman"/>
          <w:b w:val="0"/>
          <w:i/>
          <w:sz w:val="24"/>
        </w:rPr>
        <w:t>Interfaz de reportes e indicadores del rol obstetra</w:t>
      </w:r>
    </w:p>
    <w:p>
      <w:pPr>
        <w:keepNext/>
        <w:spacing w:line="240" w:lineRule="auto" w:before="80" w:after="80"/>
        <w:jc w:val="center"/>
      </w:pPr>
      <w:r>
        <w:drawing>
          <wp:inline xmlns:a="http://schemas.openxmlformats.org/drawingml/2006/main" xmlns:pic="http://schemas.openxmlformats.org/drawingml/2006/picture">
            <wp:extent cx="2204975" cy="4937758"/>
            <wp:docPr id="29" name="Picture 29"/>
            <wp:cNvGraphicFramePr>
              <a:graphicFrameLocks noChangeAspect="1"/>
            </wp:cNvGraphicFramePr>
            <a:graphic>
              <a:graphicData uri="http://schemas.openxmlformats.org/drawingml/2006/picture">
                <pic:pic>
                  <pic:nvPicPr>
                    <pic:cNvPr id="0" name="obs_05_reportes.png"/>
                    <pic:cNvPicPr/>
                  </pic:nvPicPr>
                  <pic:blipFill>
                    <a:blip r:embed="rId37"/>
                    <a:stretch>
                      <a:fillRect/>
                    </a:stretch>
                  </pic:blipFill>
                  <pic:spPr>
                    <a:xfrm>
                      <a:off x="0" y="0"/>
                      <a:ext cx="2204975" cy="4937758"/>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 del aplicativo. El módulo presenta los indicadores de asistencia a controles y de adherencia a los tratamientos de las gestantes a cargo del obstetra.</w:t>
      </w:r>
    </w:p>
    <w:p>
      <w:pPr>
        <w:spacing w:line="480" w:lineRule="auto" w:after="0"/>
        <w:ind w:firstLine="720"/>
        <w:jc w:val="both"/>
      </w:pPr>
      <w:r>
        <w:rPr>
          <w:rFonts w:ascii="Times New Roman" w:hAnsi="Times New Roman" w:eastAsia="Times New Roman"/>
          <w:b w:val="0"/>
          <w:i w:val="0"/>
          <w:sz w:val="24"/>
        </w:rPr>
        <w:t>Finalmente, la Figura 25 presenta el tablero global y la gestión de usuarios del rol administrador, y la Figura 26, la gestión de contenido y la auditoría (RF-015, RF-016, RNF-007).</w:t>
      </w:r>
    </w:p>
    <w:p>
      <w:pPr>
        <w:keepNext/>
        <w:spacing w:line="480" w:lineRule="auto" w:before="120"/>
      </w:pPr>
      <w:r>
        <w:rPr>
          <w:rFonts w:ascii="Times New Roman" w:hAnsi="Times New Roman" w:eastAsia="Times New Roman"/>
          <w:b/>
          <w:i w:val="0"/>
          <w:sz w:val="24"/>
        </w:rPr>
        <w:t>Figura 25</w:t>
      </w:r>
    </w:p>
    <w:p>
      <w:pPr>
        <w:keepNext/>
        <w:spacing w:line="480" w:lineRule="auto"/>
      </w:pPr>
      <w:r>
        <w:rPr>
          <w:rFonts w:ascii="Times New Roman" w:hAnsi="Times New Roman" w:eastAsia="Times New Roman"/>
          <w:b w:val="0"/>
          <w:i/>
          <w:sz w:val="24"/>
        </w:rPr>
        <w:t>Interfaz de tablero global y de gestión de usuarios del rol administrador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30" name="Picture 30"/>
                  <wp:cNvGraphicFramePr>
                    <a:graphicFrameLocks noChangeAspect="1"/>
                  </wp:cNvGraphicFramePr>
                  <a:graphic>
                    <a:graphicData uri="http://schemas.openxmlformats.org/drawingml/2006/picture">
                      <pic:pic>
                        <pic:nvPicPr>
                          <pic:cNvPr id="0" name="adm_01_inicio.png"/>
                          <pic:cNvPicPr/>
                        </pic:nvPicPr>
                        <pic:blipFill>
                          <a:blip r:embed="rId38"/>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31" name="Picture 31"/>
                  <wp:cNvGraphicFramePr>
                    <a:graphicFrameLocks noChangeAspect="1"/>
                  </wp:cNvGraphicFramePr>
                  <a:graphic>
                    <a:graphicData uri="http://schemas.openxmlformats.org/drawingml/2006/picture">
                      <pic:pic>
                        <pic:nvPicPr>
                          <pic:cNvPr id="0" name="adm_02_usuarios.png"/>
                          <pic:cNvPicPr/>
                        </pic:nvPicPr>
                        <pic:blipFill>
                          <a:blip r:embed="rId39"/>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el tablero con las métricas globales del sistema; a la derecha, la gestión de usuarios y la aprobación de obstetras.</w:t>
      </w:r>
    </w:p>
    <w:p>
      <w:pPr>
        <w:keepNext/>
        <w:spacing w:line="480" w:lineRule="auto" w:before="120"/>
      </w:pPr>
      <w:r>
        <w:rPr>
          <w:rFonts w:ascii="Times New Roman" w:hAnsi="Times New Roman" w:eastAsia="Times New Roman"/>
          <w:b/>
          <w:i w:val="0"/>
          <w:sz w:val="24"/>
        </w:rPr>
        <w:t>Figura 26</w:t>
      </w:r>
    </w:p>
    <w:p>
      <w:pPr>
        <w:keepNext/>
        <w:spacing w:line="480" w:lineRule="auto"/>
      </w:pPr>
      <w:r>
        <w:rPr>
          <w:rFonts w:ascii="Times New Roman" w:hAnsi="Times New Roman" w:eastAsia="Times New Roman"/>
          <w:b w:val="0"/>
          <w:i/>
          <w:sz w:val="24"/>
        </w:rPr>
        <w:t>Interfaz de gestión de contenido y de auditoría del rol administrador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32" name="Picture 32"/>
                  <wp:cNvGraphicFramePr>
                    <a:graphicFrameLocks noChangeAspect="1"/>
                  </wp:cNvGraphicFramePr>
                  <a:graphic>
                    <a:graphicData uri="http://schemas.openxmlformats.org/drawingml/2006/picture">
                      <pic:pic>
                        <pic:nvPicPr>
                          <pic:cNvPr id="0" name="adm_03_contenido.png"/>
                          <pic:cNvPicPr/>
                        </pic:nvPicPr>
                        <pic:blipFill>
                          <a:blip r:embed="rId40"/>
                          <a:stretch>
                            <a:fillRect/>
                          </a:stretch>
                        </pic:blipFill>
                        <pic:spPr>
                          <a:xfrm>
                            <a:off x="0" y="0"/>
                            <a:ext cx="2468880" cy="5528740"/>
                          </a:xfrm>
                          <a:prstGeom prst="rect"/>
                        </pic:spPr>
                      </pic:pic>
                    </a:graphicData>
                  </a:graphic>
                </wp:inline>
              </w:drawing>
            </w:r>
          </w:p>
        </w:tc>
        <w:tc>
          <w:tcPr>
            <w:tcW w:type="dxa" w:w="4680"/>
            <w:vAlign w:val="top"/>
          </w:tcPr>
          <w:p>
            <w:pPr>
              <w:spacing w:line="240" w:lineRule="auto"/>
              <w:jc w:val="center"/>
            </w:pPr>
            <w:r>
              <w:drawing>
                <wp:inline xmlns:a="http://schemas.openxmlformats.org/drawingml/2006/main" xmlns:pic="http://schemas.openxmlformats.org/drawingml/2006/picture">
                  <wp:extent cx="2468880" cy="5528740"/>
                  <wp:docPr id="33" name="Picture 33"/>
                  <wp:cNvGraphicFramePr>
                    <a:graphicFrameLocks noChangeAspect="1"/>
                  </wp:cNvGraphicFramePr>
                  <a:graphic>
                    <a:graphicData uri="http://schemas.openxmlformats.org/drawingml/2006/picture">
                      <pic:pic>
                        <pic:nvPicPr>
                          <pic:cNvPr id="0" name="adm_05_auditoria.png"/>
                          <pic:cNvPicPr/>
                        </pic:nvPicPr>
                        <pic:blipFill>
                          <a:blip r:embed="rId41"/>
                          <a:stretch>
                            <a:fillRect/>
                          </a:stretch>
                        </pic:blipFill>
                        <pic:spPr>
                          <a:xfrm>
                            <a:off x="0" y="0"/>
                            <a:ext cx="2468880" cy="5528740"/>
                          </a:xfrm>
                          <a:prstGeom prst="rect"/>
                        </pic:spPr>
                      </pic:pic>
                    </a:graphicData>
                  </a:graphic>
                </wp:inline>
              </w:drawing>
            </w:r>
          </w:p>
        </w:tc>
      </w:tr>
    </w:tbl>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Capturas del aplicativo. A la izquierda, la administración del contenido educativo; a la derecha, el registro de auditoría de las operaciones del sistema.</w:t>
      </w:r>
    </w:p>
    <w:p>
      <w:r>
        <w:br w:type="page"/>
      </w:r>
    </w:p>
    <w:p>
      <w:pPr>
        <w:keepNext/>
        <w:spacing w:line="480" w:lineRule="auto" w:before="120" w:after="0"/>
      </w:pPr>
      <w:r>
        <w:rPr>
          <w:rFonts w:ascii="Times New Roman" w:hAnsi="Times New Roman" w:eastAsia="Times New Roman"/>
          <w:b/>
          <w:i w:val="0"/>
          <w:color w:val="1F3A5F"/>
          <w:sz w:val="26"/>
        </w:rPr>
        <w:t>4. Pruebas</w:t>
      </w:r>
    </w:p>
    <w:p>
      <w:pPr>
        <w:spacing w:line="480" w:lineRule="auto" w:after="0"/>
        <w:ind w:firstLine="720"/>
        <w:jc w:val="both"/>
      </w:pPr>
      <w:r>
        <w:rPr>
          <w:rFonts w:ascii="Times New Roman" w:hAnsi="Times New Roman" w:eastAsia="Times New Roman"/>
          <w:b w:val="0"/>
          <w:i w:val="0"/>
          <w:sz w:val="24"/>
        </w:rPr>
        <w:t>La Programación Extrema exige que el software supere pruebas estrictas antes de ser aceptado; el desarrollo está impulsado por pruebas continuas para evitar la regresión de fallos (Beck &amp; Andres, 2004). En el aplicativo VITMATERNA se aplicaron pruebas unitarias, pruebas de API y pruebas de aceptación.</w:t>
      </w:r>
    </w:p>
    <w:p>
      <w:pPr>
        <w:keepNext/>
        <w:spacing w:line="480" w:lineRule="auto" w:before="120" w:after="0"/>
      </w:pPr>
      <w:r>
        <w:rPr>
          <w:rFonts w:ascii="Times New Roman" w:hAnsi="Times New Roman" w:eastAsia="Times New Roman"/>
          <w:b/>
          <w:i w:val="0"/>
          <w:color w:val="2E6CB5"/>
          <w:sz w:val="24"/>
        </w:rPr>
        <w:t>4.1 Pruebas Unitarias y de Integración</w:t>
      </w:r>
    </w:p>
    <w:p>
      <w:pPr>
        <w:spacing w:line="480" w:lineRule="auto" w:after="0"/>
        <w:ind w:firstLine="720"/>
        <w:jc w:val="both"/>
      </w:pPr>
      <w:r>
        <w:rPr>
          <w:rFonts w:ascii="Times New Roman" w:hAnsi="Times New Roman" w:eastAsia="Times New Roman"/>
          <w:b w:val="0"/>
          <w:i w:val="0"/>
          <w:sz w:val="24"/>
        </w:rPr>
        <w:t>Las pruebas unitarias y de integración evalúan funciones, servicios y endpoints del backend, utilizando el framework Jest. La suite comprende 187 casos distribuidos en 23 conjuntos de pruebas, que verifican el cerebro clínico, la autenticación, la gestión de citas, la sincronización, el chat y las notificaciones. La Tabla 17 resume los resultados.</w:t>
      </w:r>
    </w:p>
    <w:p>
      <w:pPr>
        <w:keepNext/>
        <w:spacing w:line="480" w:lineRule="auto" w:before="120"/>
      </w:pPr>
      <w:r>
        <w:rPr>
          <w:rFonts w:ascii="Times New Roman" w:hAnsi="Times New Roman" w:eastAsia="Times New Roman"/>
          <w:b/>
          <w:i w:val="0"/>
          <w:sz w:val="24"/>
        </w:rPr>
        <w:t>Tabla 17</w:t>
      </w:r>
    </w:p>
    <w:p>
      <w:pPr>
        <w:keepNext/>
        <w:spacing w:line="480" w:lineRule="auto"/>
      </w:pPr>
      <w:r>
        <w:rPr>
          <w:rFonts w:ascii="Times New Roman" w:hAnsi="Times New Roman" w:eastAsia="Times New Roman"/>
          <w:b w:val="0"/>
          <w:i/>
          <w:sz w:val="24"/>
        </w:rPr>
        <w:t>Resumen de pruebas unitarias y de integración del backend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532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Conjunto de pruebas</w:t>
            </w:r>
          </w:p>
        </w:tc>
        <w:tc>
          <w:tcPr>
            <w:tcW w:type="dxa" w:w="172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Casos</w:t>
            </w:r>
          </w:p>
        </w:tc>
        <w:tc>
          <w:tcPr>
            <w:tcW w:type="dxa" w:w="230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Resultado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Corrección de hemoglobina (hemoglobinCorrection)</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13</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Cálculo de riesgo (riskCalculator)</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10</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Cálculos obstétricos (dateCalc)</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11</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Umbrales de tamizaje (screeningThresholds)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11</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Chat clínico (chat)</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14</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Autenticación (auth)</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12</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Módulo clínico (clinical)</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11</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Citas prenatales (appointments)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11</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Notificaciones y retención (notifications)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14</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Visitas domiciliarias (home-visits)</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14</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Otros conjuntos (gamificación, auditoría, etc.)</w:t>
            </w:r>
          </w:p>
        </w:tc>
        <w:tc>
          <w:tcPr>
            <w:tcW w:type="dxa" w:w="172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66</w:t>
            </w:r>
          </w:p>
        </w:tc>
        <w:tc>
          <w:tcPr>
            <w:tcW w:type="dxa" w:w="2304"/>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5328"/>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Total de la suite</w:t>
            </w:r>
          </w:p>
        </w:tc>
        <w:tc>
          <w:tcPr>
            <w:tcW w:type="dxa" w:w="1728"/>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187</w:t>
            </w:r>
          </w:p>
        </w:tc>
        <w:tc>
          <w:tcPr>
            <w:tcW w:type="dxa" w:w="2304"/>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187 aprobados (100 %)</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 la ejecución de la suite de pruebas con Jest (23 conjuntos, 187 casos, 100 % aprobados).</w:t>
      </w:r>
    </w:p>
    <w:p>
      <w:pPr>
        <w:spacing w:line="480" w:lineRule="auto" w:after="0"/>
        <w:ind w:firstLine="720"/>
        <w:jc w:val="both"/>
      </w:pPr>
      <w:r>
        <w:rPr>
          <w:rFonts w:ascii="Times New Roman" w:hAnsi="Times New Roman" w:eastAsia="Times New Roman"/>
          <w:b w:val="0"/>
          <w:i w:val="0"/>
          <w:sz w:val="24"/>
        </w:rPr>
        <w:t>El Código de la Figura 27 muestra una prueba unitaria representativa del cerebro clínico, que verifica la corrección de la hemoglobina por altitud y la clasificación de la anemia.</w:t>
      </w:r>
    </w:p>
    <w:p>
      <w:pPr>
        <w:keepNext/>
        <w:spacing w:line="480" w:lineRule="auto" w:before="120"/>
      </w:pPr>
      <w:r>
        <w:rPr>
          <w:rFonts w:ascii="Times New Roman" w:hAnsi="Times New Roman" w:eastAsia="Times New Roman"/>
          <w:b/>
          <w:i w:val="0"/>
          <w:sz w:val="24"/>
        </w:rPr>
        <w:t>Figura 27</w:t>
      </w:r>
    </w:p>
    <w:p>
      <w:pPr>
        <w:keepNext/>
        <w:spacing w:line="480" w:lineRule="auto"/>
      </w:pPr>
      <w:r>
        <w:rPr>
          <w:rFonts w:ascii="Times New Roman" w:hAnsi="Times New Roman" w:eastAsia="Times New Roman"/>
          <w:b w:val="0"/>
          <w:i/>
          <w:sz w:val="24"/>
        </w:rPr>
        <w:t>Prueba unitaria del cerebro clínico (hemoglobinCorrection.test.ts)</w:t>
      </w:r>
    </w:p>
    <w:p>
      <w:pPr>
        <w:keepNext/>
        <w:spacing w:line="240" w:lineRule="auto" w:before="80" w:after="80"/>
        <w:jc w:val="center"/>
      </w:pPr>
      <w:r>
        <w:drawing>
          <wp:inline xmlns:a="http://schemas.openxmlformats.org/drawingml/2006/main" xmlns:pic="http://schemas.openxmlformats.org/drawingml/2006/picture">
            <wp:extent cx="5120640" cy="1944642"/>
            <wp:docPr id="34" name="Picture 34"/>
            <wp:cNvGraphicFramePr>
              <a:graphicFrameLocks noChangeAspect="1"/>
            </wp:cNvGraphicFramePr>
            <a:graphic>
              <a:graphicData uri="http://schemas.openxmlformats.org/drawingml/2006/picture">
                <pic:pic>
                  <pic:nvPicPr>
                    <pic:cNvPr id="0" name="code_test.png"/>
                    <pic:cNvPicPr/>
                  </pic:nvPicPr>
                  <pic:blipFill>
                    <a:blip r:embed="rId42"/>
                    <a:stretch>
                      <a:fillRect/>
                    </a:stretch>
                  </pic:blipFill>
                  <pic:spPr>
                    <a:xfrm>
                      <a:off x="0" y="0"/>
                      <a:ext cx="5120640" cy="1944642"/>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La prueba verifica que una hemoglobina de 12 g/dL a 2 926 msnm se corrija a 10,2 g/dL y se clasifique como anemia leve, además de comprobar la clasificación de la anemia severa.</w:t>
      </w:r>
    </w:p>
    <w:p>
      <w:pPr>
        <w:keepNext/>
        <w:spacing w:line="480" w:lineRule="auto" w:before="120" w:after="0"/>
      </w:pPr>
      <w:r>
        <w:rPr>
          <w:rFonts w:ascii="Times New Roman" w:hAnsi="Times New Roman" w:eastAsia="Times New Roman"/>
          <w:b/>
          <w:i w:val="0"/>
          <w:color w:val="2E6CB5"/>
          <w:sz w:val="24"/>
        </w:rPr>
        <w:t>4.2 Pruebas de API</w:t>
      </w:r>
    </w:p>
    <w:p>
      <w:pPr>
        <w:spacing w:line="480" w:lineRule="auto" w:after="0"/>
        <w:ind w:firstLine="720"/>
        <w:jc w:val="both"/>
      </w:pPr>
      <w:r>
        <w:rPr>
          <w:rFonts w:ascii="Times New Roman" w:hAnsi="Times New Roman" w:eastAsia="Times New Roman"/>
          <w:b w:val="0"/>
          <w:i w:val="0"/>
          <w:sz w:val="24"/>
        </w:rPr>
        <w:t>Las pruebas de API simulan peticiones HTTP hacia los endpoints del sistema para asegurar que respondan correctamente y manejen las excepciones de seguridad. La Tabla 18 presenta un extracto de las verificaciones realizadas.</w:t>
      </w:r>
    </w:p>
    <w:p>
      <w:pPr>
        <w:keepNext/>
        <w:spacing w:line="480" w:lineRule="auto" w:before="120"/>
      </w:pPr>
      <w:r>
        <w:rPr>
          <w:rFonts w:ascii="Times New Roman" w:hAnsi="Times New Roman" w:eastAsia="Times New Roman"/>
          <w:b/>
          <w:i w:val="0"/>
          <w:sz w:val="24"/>
        </w:rPr>
        <w:t>Tabla 18</w:t>
      </w:r>
    </w:p>
    <w:p>
      <w:pPr>
        <w:keepNext/>
        <w:spacing w:line="480" w:lineRule="auto"/>
      </w:pPr>
      <w:r>
        <w:rPr>
          <w:rFonts w:ascii="Times New Roman" w:hAnsi="Times New Roman" w:eastAsia="Times New Roman"/>
          <w:b w:val="0"/>
          <w:i/>
          <w:sz w:val="24"/>
        </w:rPr>
        <w:t>Verificaciones de seguridad sobre la API REST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4320"/>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Escenario de prueba</w:t>
            </w:r>
          </w:p>
        </w:tc>
        <w:tc>
          <w:tcPr>
            <w:tcW w:type="dxa" w:w="2664"/>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Resultado esperado</w:t>
            </w:r>
          </w:p>
        </w:tc>
        <w:tc>
          <w:tcPr>
            <w:tcW w:type="dxa" w:w="2376"/>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Resultado obtenido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Inicio de sesión con credenciales válidas</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200 con tokens</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200 (correcto)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Inicio de sesión con credenciales inválidas</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401 No autorizado</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401 (correcto)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Acceso a un endpoint protegido sin token</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401 No autorizado</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401 (correcto)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Token JWT inválido o expirado</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401 No autorizado</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401 (correcto)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Acceso de gestante a la gestión de usuarios</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403 Prohibido</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403 (correcto)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Agendamiento con horario ocupado</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409 Conflicto</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409 (correcto)</w:t>
            </w:r>
          </w:p>
        </w:tc>
      </w:tr>
      <w:tr>
        <w:tc>
          <w:tcPr>
            <w:tcW w:type="dxa" w:w="4320"/>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Reenvío de un registro de suplemento</w:t>
            </w:r>
          </w:p>
        </w:tc>
        <w:tc>
          <w:tcPr>
            <w:tcW w:type="dxa" w:w="2664"/>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Sin duplicación</w:t>
            </w:r>
          </w:p>
        </w:tc>
        <w:tc>
          <w:tcPr>
            <w:tcW w:type="dxa" w:w="2376"/>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Correcto</w:t>
            </w:r>
          </w:p>
        </w:tc>
      </w:tr>
      <w:tr>
        <w:tc>
          <w:tcPr>
            <w:tcW w:type="dxa" w:w="4320"/>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Reporte de un signo de alarma grave</w:t>
            </w:r>
          </w:p>
        </w:tc>
        <w:tc>
          <w:tcPr>
            <w:tcW w:type="dxa" w:w="2664"/>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Alerta generada</w:t>
            </w:r>
          </w:p>
        </w:tc>
        <w:tc>
          <w:tcPr>
            <w:tcW w:type="dxa" w:w="2376"/>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Correcto</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 partir de la simulación de peticiones HTTP sobre la API en ejecución.</w:t>
      </w:r>
    </w:p>
    <w:p>
      <w:pPr>
        <w:keepNext/>
        <w:spacing w:line="480" w:lineRule="auto" w:before="120" w:after="0"/>
      </w:pPr>
      <w:r>
        <w:rPr>
          <w:rFonts w:ascii="Times New Roman" w:hAnsi="Times New Roman" w:eastAsia="Times New Roman"/>
          <w:b/>
          <w:i w:val="0"/>
          <w:color w:val="2E6CB5"/>
          <w:sz w:val="24"/>
        </w:rPr>
        <w:t>4.3 Pruebas de Aceptación</w:t>
      </w:r>
    </w:p>
    <w:p>
      <w:pPr>
        <w:spacing w:line="480" w:lineRule="auto" w:after="0"/>
        <w:ind w:firstLine="720"/>
        <w:jc w:val="both"/>
      </w:pPr>
      <w:r>
        <w:rPr>
          <w:rFonts w:ascii="Times New Roman" w:hAnsi="Times New Roman" w:eastAsia="Times New Roman"/>
          <w:b w:val="0"/>
          <w:i w:val="0"/>
          <w:sz w:val="24"/>
        </w:rPr>
        <w:t>Las pruebas de aceptación validan que cada historia de usuario cumpla sus criterios. Se realizaron sobre la interfaz, interactuando con los formularios y botones reales para emular el trabajo cotidiano del personal de salud y de las gestantes, y se revisaron junto al personal obstétrico al cierre de cada iteración. La Tabla 19 presenta las pruebas de aceptación de las historias principales.</w:t>
      </w:r>
    </w:p>
    <w:p>
      <w:pPr>
        <w:keepNext/>
        <w:spacing w:line="480" w:lineRule="auto" w:before="120"/>
      </w:pPr>
      <w:r>
        <w:rPr>
          <w:rFonts w:ascii="Times New Roman" w:hAnsi="Times New Roman" w:eastAsia="Times New Roman"/>
          <w:b/>
          <w:i w:val="0"/>
          <w:sz w:val="24"/>
        </w:rPr>
        <w:t>Tabla 19</w:t>
      </w:r>
    </w:p>
    <w:p>
      <w:pPr>
        <w:keepNext/>
        <w:spacing w:line="480" w:lineRule="auto"/>
      </w:pPr>
      <w:r>
        <w:rPr>
          <w:rFonts w:ascii="Times New Roman" w:hAnsi="Times New Roman" w:eastAsia="Times New Roman"/>
          <w:b w:val="0"/>
          <w:i/>
          <w:sz w:val="24"/>
        </w:rPr>
        <w:t>Pruebas de aceptación de las historias de usuario principales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00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HU</w:t>
            </w:r>
          </w:p>
        </w:tc>
        <w:tc>
          <w:tcPr>
            <w:tcW w:type="dxa" w:w="3888"/>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Escenario de aceptación</w:t>
            </w:r>
          </w:p>
        </w:tc>
        <w:tc>
          <w:tcPr>
            <w:tcW w:type="dxa" w:w="331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Resultado esperado</w:t>
            </w:r>
          </w:p>
        </w:tc>
        <w:tc>
          <w:tcPr>
            <w:tcW w:type="dxa" w:w="1152"/>
            <w:vAlign w:val="center"/>
            <w:tcBorders>
              <w:top w:val="single" w:sz="8" w:space="0" w:color="000000"/>
              <w:left w:val="nil"/>
              <w:bottom w:val="single" w:sz="6" w:space="0" w:color="000000"/>
              <w:right w:val="nil"/>
            </w:tcBorders>
          </w:tcPr>
          <w:p>
            <w:pPr>
              <w:spacing w:line="240" w:lineRule="auto" w:after="40" w:before="40"/>
              <w:jc w:val="center"/>
            </w:pPr>
            <w:r/>
            <w:r>
              <w:rPr>
                <w:rFonts w:ascii="Times New Roman" w:hAnsi="Times New Roman" w:eastAsia="Times New Roman"/>
                <w:b/>
                <w:i w:val="0"/>
                <w:color w:val="000000"/>
                <w:sz w:val="22"/>
              </w:rPr>
              <w:t>Estado</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HU-01</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Inicio de sesión con credenciales válidas</w:t>
            </w:r>
          </w:p>
        </w:tc>
        <w:tc>
          <w:tcPr>
            <w:tcW w:type="dxa" w:w="3312"/>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Acceso concedido con tokens</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HU-01</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Inicio de sesión con credenciales inválidas</w:t>
            </w:r>
          </w:p>
        </w:tc>
        <w:tc>
          <w:tcPr>
            <w:tcW w:type="dxa" w:w="3312"/>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Mensaje de error genérico</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HU-03</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Consulta del estado del embarazo</w:t>
            </w:r>
          </w:p>
        </w:tc>
        <w:tc>
          <w:tcPr>
            <w:tcW w:type="dxa" w:w="3312"/>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Edad gestacional, FPP y riesgo</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HU-04</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Registro de un control prenatal</w:t>
            </w:r>
          </w:p>
        </w:tc>
        <w:tc>
          <w:tcPr>
            <w:tcW w:type="dxa" w:w="3312"/>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Control guardado y riesgo recalculado</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HU-07</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Registro de suplemento sin conexión</w:t>
            </w:r>
          </w:p>
        </w:tc>
        <w:tc>
          <w:tcPr>
            <w:tcW w:type="dxa" w:w="3312"/>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Registro encolado y sincronizado</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1008"/>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HU-08</w:t>
            </w:r>
          </w:p>
        </w:tc>
        <w:tc>
          <w:tcPr>
            <w:tcW w:type="dxa" w:w="3888"/>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Reporte de un signo de alarma grave</w:t>
            </w:r>
          </w:p>
        </w:tc>
        <w:tc>
          <w:tcPr>
            <w:tcW w:type="dxa" w:w="3312"/>
            <w:vAlign w:val="center"/>
            <w:tcBorders>
              <w:top w:val="nil"/>
              <w:left w:val="nil"/>
              <w:bottom w:val="nil"/>
              <w:right w:val="nil"/>
            </w:tcBorders>
          </w:tcPr>
          <w:p>
            <w:pPr>
              <w:spacing w:line="240" w:lineRule="auto" w:after="40" w:before="40"/>
              <w:jc w:val="left"/>
            </w:pPr>
            <w:r/>
            <w:r>
              <w:rPr>
                <w:rFonts w:ascii="Times New Roman" w:hAnsi="Times New Roman" w:eastAsia="Times New Roman"/>
                <w:b w:val="0"/>
                <w:i w:val="0"/>
                <w:sz w:val="22"/>
              </w:rPr>
              <w:t>Alerta enviada al obstetra</w:t>
            </w:r>
          </w:p>
        </w:tc>
        <w:tc>
          <w:tcPr>
            <w:tcW w:type="dxa" w:w="1152"/>
            <w:vAlign w:val="center"/>
            <w:tcBorders>
              <w:top w:val="nil"/>
              <w:left w:val="nil"/>
              <w:bottom w:val="nil"/>
              <w:right w:val="nil"/>
            </w:tcBorders>
          </w:tcPr>
          <w:p>
            <w:pPr>
              <w:spacing w:line="240" w:lineRule="auto" w:after="40" w:before="40"/>
              <w:jc w:val="center"/>
            </w:pPr>
            <w:r/>
            <w:r>
              <w:rPr>
                <w:rFonts w:ascii="Times New Roman" w:hAnsi="Times New Roman" w:eastAsia="Times New Roman"/>
                <w:b w:val="0"/>
                <w:i w:val="0"/>
                <w:sz w:val="22"/>
              </w:rPr>
              <w:t>Aprobado</w:t>
            </w:r>
          </w:p>
        </w:tc>
      </w:tr>
      <w:tr>
        <w:tc>
          <w:tcPr>
            <w:tcW w:type="dxa" w:w="1008"/>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HU-12</w:t>
            </w:r>
          </w:p>
        </w:tc>
        <w:tc>
          <w:tcPr>
            <w:tcW w:type="dxa" w:w="3888"/>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Aprobación de un obstetra registrado</w:t>
            </w:r>
          </w:p>
        </w:tc>
        <w:tc>
          <w:tcPr>
            <w:tcW w:type="dxa" w:w="3312"/>
            <w:vAlign w:val="center"/>
            <w:tcBorders>
              <w:top w:val="nil"/>
              <w:left w:val="nil"/>
              <w:bottom w:val="single" w:sz="8" w:space="0" w:color="000000"/>
              <w:right w:val="nil"/>
            </w:tcBorders>
          </w:tcPr>
          <w:p>
            <w:pPr>
              <w:spacing w:line="240" w:lineRule="auto" w:after="40" w:before="40"/>
              <w:jc w:val="left"/>
            </w:pPr>
            <w:r/>
            <w:r>
              <w:rPr>
                <w:rFonts w:ascii="Times New Roman" w:hAnsi="Times New Roman" w:eastAsia="Times New Roman"/>
                <w:b w:val="0"/>
                <w:i w:val="0"/>
                <w:sz w:val="22"/>
              </w:rPr>
              <w:t>Obstetra habilitado para operar</w:t>
            </w:r>
          </w:p>
        </w:tc>
        <w:tc>
          <w:tcPr>
            <w:tcW w:type="dxa" w:w="1152"/>
            <w:vAlign w:val="center"/>
            <w:tcBorders>
              <w:top w:val="nil"/>
              <w:left w:val="nil"/>
              <w:bottom w:val="single" w:sz="8" w:space="0" w:color="000000"/>
              <w:right w:val="nil"/>
            </w:tcBorders>
          </w:tcPr>
          <w:p>
            <w:pPr>
              <w:spacing w:line="240" w:lineRule="auto" w:after="40" w:before="40"/>
              <w:jc w:val="center"/>
            </w:pPr>
            <w:r/>
            <w:r>
              <w:rPr>
                <w:rFonts w:ascii="Times New Roman" w:hAnsi="Times New Roman" w:eastAsia="Times New Roman"/>
                <w:b w:val="0"/>
                <w:i w:val="0"/>
                <w:sz w:val="22"/>
              </w:rPr>
              <w:t>Aprobado</w:t>
            </w:r>
          </w:p>
        </w:tc>
      </w:tr>
    </w:tbl>
    <w:p>
      <w:pPr>
        <w:spacing w:line="480" w:lineRule="auto" w:after="120" w:before="8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Adicionalmente se utilizó análisis estático (verificación de tipos con TypeScript) para garantizar la mantenibilidad (RNF-006).</w:t>
      </w:r>
    </w:p>
    <w:p>
      <w:r>
        <w:br w:type="page"/>
      </w:r>
    </w:p>
    <w:p>
      <w:pPr>
        <w:keepNext/>
        <w:spacing w:line="480" w:lineRule="auto" w:before="120" w:after="0"/>
      </w:pPr>
      <w:r>
        <w:rPr>
          <w:rFonts w:ascii="Times New Roman" w:hAnsi="Times New Roman" w:eastAsia="Times New Roman"/>
          <w:b/>
          <w:i w:val="0"/>
          <w:color w:val="1F3A5F"/>
          <w:sz w:val="26"/>
        </w:rPr>
        <w:t>5. Despliegue (Lanzamiento)</w:t>
      </w:r>
    </w:p>
    <w:p>
      <w:pPr>
        <w:spacing w:line="480" w:lineRule="auto" w:after="0"/>
        <w:ind w:firstLine="720"/>
        <w:jc w:val="both"/>
      </w:pPr>
      <w:r>
        <w:rPr>
          <w:rFonts w:ascii="Times New Roman" w:hAnsi="Times New Roman" w:eastAsia="Times New Roman"/>
          <w:b w:val="0"/>
          <w:i w:val="0"/>
          <w:sz w:val="24"/>
        </w:rPr>
        <w:t>La última fase abarca la puesta en producción del sistema una vez superadas las pruebas de la iteración. El despliegue se diseñó sobre contenedores Docker, orquestados con Docker Compose, lo que garantiza la reproducibilidad del entorno (RNF-006). La Figura 28 presenta el diagrama de despliegue del sistema.</w:t>
      </w:r>
    </w:p>
    <w:p>
      <w:pPr>
        <w:keepNext/>
        <w:spacing w:line="480" w:lineRule="auto" w:before="120"/>
      </w:pPr>
      <w:r>
        <w:rPr>
          <w:rFonts w:ascii="Times New Roman" w:hAnsi="Times New Roman" w:eastAsia="Times New Roman"/>
          <w:b/>
          <w:i w:val="0"/>
          <w:sz w:val="24"/>
        </w:rPr>
        <w:t>Figura 28</w:t>
      </w:r>
    </w:p>
    <w:p>
      <w:pPr>
        <w:keepNext/>
        <w:spacing w:line="480" w:lineRule="auto"/>
      </w:pPr>
      <w:r>
        <w:rPr>
          <w:rFonts w:ascii="Times New Roman" w:hAnsi="Times New Roman" w:eastAsia="Times New Roman"/>
          <w:b w:val="0"/>
          <w:i/>
          <w:sz w:val="24"/>
        </w:rPr>
        <w:t>Diagrama de despliegue del aplicativo VITMATERNA</w:t>
      </w:r>
    </w:p>
    <w:p>
      <w:pPr>
        <w:keepNext/>
        <w:spacing w:line="240" w:lineRule="auto" w:before="80" w:after="80"/>
        <w:jc w:val="center"/>
      </w:pPr>
      <w:r>
        <w:drawing>
          <wp:inline xmlns:a="http://schemas.openxmlformats.org/drawingml/2006/main" xmlns:pic="http://schemas.openxmlformats.org/drawingml/2006/picture">
            <wp:extent cx="5943600" cy="2330397"/>
            <wp:docPr id="35" name="Picture 35"/>
            <wp:cNvGraphicFramePr>
              <a:graphicFrameLocks noChangeAspect="1"/>
            </wp:cNvGraphicFramePr>
            <a:graphic>
              <a:graphicData uri="http://schemas.openxmlformats.org/drawingml/2006/picture">
                <pic:pic>
                  <pic:nvPicPr>
                    <pic:cNvPr id="0" name="fig_despliegue.png"/>
                    <pic:cNvPicPr/>
                  </pic:nvPicPr>
                  <pic:blipFill>
                    <a:blip r:embed="rId43"/>
                    <a:stretch>
                      <a:fillRect/>
                    </a:stretch>
                  </pic:blipFill>
                  <pic:spPr>
                    <a:xfrm>
                      <a:off x="0" y="0"/>
                      <a:ext cx="5943600" cy="2330397"/>
                    </a:xfrm>
                    <a:prstGeom prst="rect"/>
                  </pic:spPr>
                </pic:pic>
              </a:graphicData>
            </a:graphic>
          </wp:inline>
        </w:drawing>
      </w:r>
    </w:p>
    <w:p>
      <w:pPr>
        <w:spacing w:line="480" w:lineRule="auto" w:after="120"/>
      </w:pPr>
      <w:r>
        <w:rPr>
          <w:rFonts w:ascii="Times New Roman" w:hAnsi="Times New Roman" w:eastAsia="Times New Roman"/>
          <w:b w:val="0"/>
          <w:i/>
          <w:sz w:val="21"/>
        </w:rPr>
        <w:t xml:space="preserve">Nota. </w:t>
      </w:r>
      <w:r>
        <w:rPr>
          <w:rFonts w:ascii="Times New Roman" w:hAnsi="Times New Roman" w:eastAsia="Times New Roman"/>
          <w:b w:val="0"/>
          <w:i w:val="0"/>
          <w:sz w:val="21"/>
        </w:rPr>
        <w:t>Elaboración propia mediante notación UML de despliegue. El sistema se despliega en un servidor VPS con Nginx como proxy inverso, el backend de Node.js, PostgreSQL y Redis en contenedores independientes; los canales externos se consumen vía HTTPS.</w:t>
      </w:r>
    </w:p>
    <w:p>
      <w:pPr>
        <w:spacing w:line="480" w:lineRule="auto" w:after="0"/>
        <w:ind w:firstLine="720"/>
        <w:jc w:val="both"/>
      </w:pPr>
      <w:r>
        <w:rPr>
          <w:rFonts w:ascii="Times New Roman" w:hAnsi="Times New Roman" w:eastAsia="Times New Roman"/>
          <w:b w:val="0"/>
          <w:i w:val="0"/>
          <w:sz w:val="24"/>
        </w:rPr>
        <w:t>Los componentes y actividades del despliegue se describen a continuación:</w:t>
      </w:r>
    </w:p>
    <w:p>
      <w:pPr>
        <w:pStyle w:val="ListBullet"/>
        <w:spacing w:line="480" w:lineRule="auto" w:after="0"/>
        <w:ind w:left="1080"/>
        <w:jc w:val="both"/>
      </w:pPr>
      <w:r>
        <w:rPr>
          <w:rFonts w:ascii="Times New Roman" w:hAnsi="Times New Roman" w:eastAsia="Times New Roman"/>
          <w:b/>
          <w:i w:val="0"/>
          <w:sz w:val="24"/>
        </w:rPr>
        <w:t>Entornos virtualizados:</w:t>
      </w:r>
      <w:r>
        <w:rPr>
          <w:rFonts w:ascii="Times New Roman" w:hAnsi="Times New Roman" w:eastAsia="Times New Roman"/>
          <w:b w:val="0"/>
          <w:i w:val="0"/>
          <w:sz w:val="24"/>
        </w:rPr>
        <w:t xml:space="preserve"> configuración del servidor en la nube (VPS) mediante contenedores Docker, garantizando la disponibilidad y el aislamiento de los servicios.</w:t>
      </w:r>
    </w:p>
    <w:p>
      <w:pPr>
        <w:pStyle w:val="ListBullet"/>
        <w:spacing w:line="480" w:lineRule="auto" w:after="0"/>
        <w:ind w:left="1080"/>
        <w:jc w:val="both"/>
      </w:pPr>
      <w:r>
        <w:rPr>
          <w:rFonts w:ascii="Times New Roman" w:hAnsi="Times New Roman" w:eastAsia="Times New Roman"/>
          <w:b/>
          <w:i w:val="0"/>
          <w:sz w:val="24"/>
        </w:rPr>
        <w:t>Despliegue del backend:</w:t>
      </w:r>
      <w:r>
        <w:rPr>
          <w:rFonts w:ascii="Times New Roman" w:hAnsi="Times New Roman" w:eastAsia="Times New Roman"/>
          <w:b w:val="0"/>
          <w:i w:val="0"/>
          <w:sz w:val="24"/>
        </w:rPr>
        <w:t xml:space="preserve"> servicio de Node.js ejecutado en un contenedor, con las migraciones de base de datos gestionadas por Prisma y certificados SSL para forzar HTTPS.</w:t>
      </w:r>
    </w:p>
    <w:p>
      <w:pPr>
        <w:pStyle w:val="ListBullet"/>
        <w:spacing w:line="480" w:lineRule="auto" w:after="0"/>
        <w:ind w:left="1080"/>
        <w:jc w:val="both"/>
      </w:pPr>
      <w:r>
        <w:rPr>
          <w:rFonts w:ascii="Times New Roman" w:hAnsi="Times New Roman" w:eastAsia="Times New Roman"/>
          <w:b/>
          <w:i w:val="0"/>
          <w:sz w:val="24"/>
        </w:rPr>
        <w:t>Despliegue del frontend:</w:t>
      </w:r>
      <w:r>
        <w:rPr>
          <w:rFonts w:ascii="Times New Roman" w:hAnsi="Times New Roman" w:eastAsia="Times New Roman"/>
          <w:b w:val="0"/>
          <w:i w:val="0"/>
          <w:sz w:val="24"/>
        </w:rPr>
        <w:t xml:space="preserve"> compilación de la aplicación Expo Web servida por Nginx, optimizada para una carga rápida.</w:t>
      </w:r>
    </w:p>
    <w:p>
      <w:pPr>
        <w:pStyle w:val="ListBullet"/>
        <w:spacing w:line="480" w:lineRule="auto" w:after="0"/>
        <w:ind w:left="1080"/>
        <w:jc w:val="both"/>
      </w:pPr>
      <w:r>
        <w:rPr>
          <w:rFonts w:ascii="Times New Roman" w:hAnsi="Times New Roman" w:eastAsia="Times New Roman"/>
          <w:b/>
          <w:i w:val="0"/>
          <w:sz w:val="24"/>
        </w:rPr>
        <w:t>Distribución móvil:</w:t>
      </w:r>
      <w:r>
        <w:rPr>
          <w:rFonts w:ascii="Times New Roman" w:hAnsi="Times New Roman" w:eastAsia="Times New Roman"/>
          <w:b w:val="0"/>
          <w:i w:val="0"/>
          <w:sz w:val="24"/>
        </w:rPr>
        <w:t xml:space="preserve"> generación del paquete APK para Android mediante Expo Application Services (EAS Build), con la URL del backend parametrizada por entorno.</w:t>
      </w:r>
    </w:p>
    <w:p>
      <w:pPr>
        <w:pStyle w:val="ListBullet"/>
        <w:spacing w:line="480" w:lineRule="auto" w:after="0"/>
        <w:ind w:left="1080"/>
        <w:jc w:val="both"/>
      </w:pPr>
      <w:r>
        <w:rPr>
          <w:rFonts w:ascii="Times New Roman" w:hAnsi="Times New Roman" w:eastAsia="Times New Roman"/>
          <w:b/>
          <w:i w:val="0"/>
          <w:sz w:val="24"/>
        </w:rPr>
        <w:t>Configuración de seguridad:</w:t>
      </w:r>
      <w:r>
        <w:rPr>
          <w:rFonts w:ascii="Times New Roman" w:hAnsi="Times New Roman" w:eastAsia="Times New Roman"/>
          <w:b w:val="0"/>
          <w:i w:val="0"/>
          <w:sz w:val="24"/>
        </w:rPr>
        <w:t xml:space="preserve"> las claves secretas del backend se exigen por variable de entorno y el tráfico en claro se deshabilita en producción.</w:t>
      </w:r>
    </w:p>
    <w:p>
      <w:pPr>
        <w:spacing w:line="480" w:lineRule="auto" w:after="0"/>
        <w:ind w:firstLine="720"/>
        <w:jc w:val="both"/>
      </w:pPr>
      <w:r>
        <w:rPr>
          <w:rFonts w:ascii="Times New Roman" w:hAnsi="Times New Roman" w:eastAsia="Times New Roman"/>
          <w:b w:val="0"/>
          <w:i w:val="0"/>
          <w:sz w:val="24"/>
        </w:rPr>
        <w:t>El uso de entornos de prueba aislados (sandboxes) durante el ciclo de integración continua permitió que cada versión lanzada fuese preevaluada en un entorno idéntico al de producción, asegurando la viabilidad técnica y operativa del aplicativo antes de su entrega final en el Centro de Salud Talavera. De este modo, la aplicación de las cinco fases de Extreme Programming permitió construir VITMATERNA de forma incremental y centrada en la usuaria gestante, validando cada avance con el personal de salud y manteniendo la calidad del software a lo largo de todo el proceso.</w:t>
      </w:r>
    </w:p>
    <w:p>
      <w:r>
        <w:br w:type="page"/>
      </w:r>
    </w:p>
    <w:p>
      <w:pPr>
        <w:keepNext/>
        <w:spacing w:line="480" w:lineRule="auto" w:before="120" w:after="0"/>
      </w:pPr>
      <w:r>
        <w:rPr>
          <w:rFonts w:ascii="Times New Roman" w:hAnsi="Times New Roman" w:eastAsia="Times New Roman"/>
          <w:b/>
          <w:i w:val="0"/>
          <w:color w:val="1F3A5F"/>
          <w:sz w:val="26"/>
        </w:rPr>
        <w:t>Referencias</w:t>
      </w:r>
    </w:p>
    <w:p>
      <w:pPr>
        <w:spacing w:line="480" w:lineRule="auto" w:after="0"/>
        <w:ind w:left="720" w:hanging="720"/>
        <w:jc w:val="both"/>
      </w:pPr>
      <w:r>
        <w:rPr>
          <w:rFonts w:ascii="Times New Roman" w:hAnsi="Times New Roman" w:eastAsia="Times New Roman"/>
          <w:b w:val="0"/>
          <w:i w:val="0"/>
          <w:sz w:val="24"/>
        </w:rPr>
        <w:t>Beck, K., &amp; Andres, C. (2004). Extreme programming explained: Embrace change (2.ª ed.). Addison-Wesley.</w:t>
      </w:r>
    </w:p>
    <w:p>
      <w:pPr>
        <w:spacing w:line="480" w:lineRule="auto" w:after="0"/>
        <w:ind w:left="720" w:hanging="720"/>
        <w:jc w:val="both"/>
      </w:pPr>
      <w:r>
        <w:rPr>
          <w:rFonts w:ascii="Times New Roman" w:hAnsi="Times New Roman" w:eastAsia="Times New Roman"/>
          <w:b w:val="0"/>
          <w:i w:val="0"/>
          <w:sz w:val="24"/>
        </w:rPr>
        <w:t>ISO/IEC. (2011). ISO/IEC 25010:2011. Systems and software engineering — Systems and software Quality Requirements and Evaluation (SQuaRE) — System and software quality models. International Organization for Standardization.</w:t>
      </w:r>
    </w:p>
    <w:p>
      <w:pPr>
        <w:spacing w:line="480" w:lineRule="auto" w:after="0"/>
        <w:ind w:left="720" w:hanging="720"/>
        <w:jc w:val="both"/>
      </w:pPr>
      <w:r>
        <w:rPr>
          <w:rFonts w:ascii="Times New Roman" w:hAnsi="Times New Roman" w:eastAsia="Times New Roman"/>
          <w:b w:val="0"/>
          <w:i w:val="0"/>
          <w:sz w:val="24"/>
        </w:rPr>
        <w:t>Ministerio de Salud [MINSA]. (2013). Norma técnica de salud para la atención integral de salud materna. https://docs.bvsalud.org/biblioref/2019/04/964549/rm_827-2013-minsa.pdf</w:t>
      </w:r>
    </w:p>
    <w:p>
      <w:pPr>
        <w:spacing w:line="480" w:lineRule="auto" w:after="0"/>
        <w:ind w:left="720" w:hanging="720"/>
        <w:jc w:val="both"/>
      </w:pPr>
      <w:r>
        <w:rPr>
          <w:rFonts w:ascii="Times New Roman" w:hAnsi="Times New Roman" w:eastAsia="Times New Roman"/>
          <w:b w:val="0"/>
          <w:i w:val="0"/>
          <w:sz w:val="24"/>
        </w:rPr>
        <w:t>Ministerio de Salud [MINSA]. (2017). Guía técnica: Seguimiento y monitoreo del control prenatal. MINSA.</w:t>
      </w:r>
    </w:p>
    <w:p>
      <w:pPr>
        <w:spacing w:line="480" w:lineRule="auto" w:after="0"/>
        <w:ind w:left="720" w:hanging="720"/>
        <w:jc w:val="both"/>
      </w:pPr>
      <w:r>
        <w:rPr>
          <w:rFonts w:ascii="Times New Roman" w:hAnsi="Times New Roman" w:eastAsia="Times New Roman"/>
          <w:b w:val="0"/>
          <w:i w:val="0"/>
          <w:sz w:val="24"/>
        </w:rPr>
        <w:t>Organización Mundial de la Salud [OMS]. (2016, noviembre 7). Pregnant women must be able to access the right care at the right time, says WHO. WHO. https://www.who.int/es/news/item/07-11-2016-pregnant-women-must-be-able-to-access-the-right-care-at-the-right-time-says-who</w:t>
      </w:r>
    </w:p>
    <w:sectPr w:rsidR="00FC693F" w:rsidRPr="0006063C" w:rsidSect="00034616">
      <w:footerReference w:type="default" r:id="rI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