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360" w:lineRule="auto" w:after="0"/>
        <w:ind w:firstLine="709"/>
        <w:jc w:val="both"/>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360" w:lineRule="auto" w:after="0"/>
        <w:ind w:firstLine="709"/>
        <w:jc w:val="both"/>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con F1-score por clase confirmó que ambos modelos superan el umbral de eficiencia de 0.75 (p &lt; 0.001). La comparación pareada por clase no evidenció diferencia estadísticamente significativa entre ambos modelos (p = 0.145), aunque Swin-Tiny Transformer presentó una ventaja descriptiva ligera. Se concluye que los dos modelos presentan desempeño eficiente dentro del corpus evaluado.</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Statistical testing using class-level F1-scores confirmed that both models exceeded the 0.75 efficiency threshold (p &lt; 0.001). The paired class-level comparison did not show a statistically significant difference between models (p = 0.145), although Swin-Tiny Transformer showed a slight descriptive advantage. The study concludes that both models achieved efficient performance within the evaluated corpus.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iskaynin modeloqa desempeño eficiente nisqayuq kasqanta tukuchikun.</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40"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40"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40"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40"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40"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40"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40"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40"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40"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40"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40"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40"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40"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40"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40"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40"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40"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40"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40"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40"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y a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40"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40"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40"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40"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40"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40"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40"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mediante métricas globales, métricas por clase y contrastación estadística sobre F1-score por variedad. La comparación permitió evaluar la eficiencia de cada modelo y determinar si la diferencia entre ambos era estadísticamente significativa.</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Se formularon hipótesis de investigación porque el estudio mide cuantitativamente el desempeño de modelos de Deep Learning y contrasta sus resultados mediante métricas de clasificación. Para la interpretación se adoptó como valor de referencia μ₀ = 0.75, de modo que un modelo se considera eficiente cuando su F1-score promedio por clase es igual o superior a dicho umbral.</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El contraste estadístico se realizó con un nivel de significancia α = 0.05. Para la hipótesis general y las hipótesis específicas 1 y 2 se utilizó la prueba t de Student para una muestra, comparando el F1-score promedio por clase contra μ₀ = 0.75. Para la hipótesis específica 3 se utilizó una prueba t pareada sobre las diferencias de F1-score por clase entre CNN/EfficientNetB0 y Swin-Tiny Transformer.</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validez de los datos se fortaleció mediante la organización de imágenes por variedad, la revisión de etiquetas y la aplicación de criterios de inclusión y exclusión. Este control permitió reducir errores ocasionados por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0"/>
        <w:jc w:val="both"/>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40"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40"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40"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40"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40"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40"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40"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40"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40"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40"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40"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40"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40"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40"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40"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40"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firstLine="0"/>
        <w:jc w:val="both"/>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40"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40"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firstLine="0"/>
        <w:jc w:val="both"/>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firstLine="0"/>
        <w:jc w:val="both"/>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firstLine="0"/>
        <w:jc w:val="both"/>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40"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40"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40"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firstLine="0"/>
        <w:jc w:val="both"/>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firstLine="0"/>
        <w:jc w:val="both"/>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40"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40"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40"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40"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firstLine="0"/>
        <w:jc w:val="both"/>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firstLine="0"/>
        <w:jc w:val="both"/>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360" w:lineRule="auto"/>
        <w:ind w:firstLine="0"/>
        <w:jc w:val="both"/>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firstLine="0"/>
        <w:jc w:val="both"/>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40"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40"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40"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firstLine="0"/>
        <w:jc w:val="both"/>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40"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40"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firstLine="0"/>
        <w:jc w:val="both"/>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360" w:lineRule="auto"/>
        <w:ind w:firstLine="0"/>
        <w:jc w:val="both"/>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40"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40"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40"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40"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estadística entre CNN/EfficientNetB0 y Swin-Tiny Transformer se realizó a partir del F1-score por clase. Esta prueba complementó la comparación descriptiva de métricas globales y permitió evaluar formalmente si la diferencia entre ambos modelos era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firstLine="0"/>
        <w:jc w:val="both"/>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0" w:line="240" w:lineRule="auto"/>
              <w:jc w:val="center"/>
              <w:rPr>
                <w:rFonts w:ascii="Times New Roman" w:hAnsi="Times New Roman" w:cs="Times New Roman"/>
                <w:b/>
                <w:bCs/>
                <w:sz w:val="24"/>
                <w:szCs w:val="24"/>
                <w:lang w:val="es-PE"/>
              </w:rPr>
            </w:pPr>
            <w:r>
              <w:rPr>
                <w:rFonts w:ascii="Times New Roman" w:hAnsi="Times New Roman" w:eastAsia="Times New Roman"/>
                <w:b/>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0" w:line="240" w:lineRule="auto"/>
              <w:jc w:val="center"/>
              <w:rPr>
                <w:rFonts w:ascii="Times New Roman" w:hAnsi="Times New Roman" w:cs="Times New Roman"/>
                <w:b/>
                <w:bCs/>
                <w:sz w:val="24"/>
                <w:szCs w:val="24"/>
                <w:lang w:val="es-PE"/>
              </w:rPr>
            </w:pPr>
            <w:r>
              <w:rPr>
                <w:rFonts w:ascii="Times New Roman" w:hAnsi="Times New Roman" w:eastAsia="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Unidad de contraste</w:t>
            </w:r>
          </w:p>
        </w:tc>
        <w:tc>
          <w:tcPr>
            <w:tcW w:w="3265" w:type="dxa"/>
            <w:tcBorders>
              <w:top w:val="single" w:sz="4" w:space="0" w:color="auto"/>
            </w:tcBorders>
            <w:vAlign w:val="center"/>
            <w:hideMark/>
          </w:tcPr>
          <w:p w14:paraId="134675E1"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F1-score por clase en las siete variedades evaluadas.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Prueba de eficiencia</w:t>
            </w:r>
          </w:p>
        </w:tc>
        <w:tc>
          <w:tcPr>
            <w:tcW w:w="3265" w:type="dxa"/>
            <w:vAlign w:val="center"/>
            <w:hideMark/>
          </w:tcPr>
          <w:p w14:paraId="3B0AAD0E"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para una muestra contra μ₀ = 0.75.</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Prueba de comparación</w:t>
            </w:r>
          </w:p>
        </w:tc>
        <w:tc>
          <w:tcPr>
            <w:tcW w:w="3265" w:type="dxa"/>
            <w:vAlign w:val="center"/>
            <w:hideMark/>
          </w:tcPr>
          <w:p w14:paraId="2B4393E6"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pareada entre F1-score por clase de CNN/EfficientNetB0 y Swin-Tiny Transformer.</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Nivel de significancia</w:t>
            </w:r>
          </w:p>
        </w:tc>
        <w:tc>
          <w:tcPr>
            <w:tcW w:w="3265" w:type="dxa"/>
            <w:tcBorders>
              <w:bottom w:val="single" w:sz="4" w:space="0" w:color="auto"/>
            </w:tcBorders>
            <w:vAlign w:val="center"/>
            <w:hideMark/>
          </w:tcPr>
          <w:p w14:paraId="53CAA8AC"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α = 0.05.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Interpretación</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0" w:line="240" w:lineRule="auto"/>
              <w:jc w:val="both"/>
              <w:rPr>
                <w:rFonts w:ascii="Times New Roman" w:hAnsi="Times New Roman" w:cs="Times New Roman"/>
                <w:sz w:val="24"/>
                <w:szCs w:val="24"/>
                <w:lang w:val="es-PE"/>
              </w:rPr>
            </w:pPr>
            <w:r>
              <w:rPr>
                <w:rFonts w:ascii="Times New Roman" w:hAnsi="Times New Roman" w:eastAsia="Times New Roman"/>
                <w:b w:val="0"/>
                <w:sz w:val="24"/>
              </w:rPr>
              <w:t>Ambos modelos son eficientes; la diferencia entre modelos no fue estadísticamente significativa.</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Aunque Swin-Tiny Transformer obtuvo una métrica global ligeramente mayor, la diferencia se interpreta como ventaja descriptiva y no como superioridad estadísticamente significativa.</w:t>
      </w:r>
    </w:p>
    <w:p>
      <w:pPr>
        <w:pStyle w:val="Ttulo1"/>
        <w:spacing w:line="240" w:lineRule="auto" w:before="120" w:after="120"/>
        <w:ind w:firstLine="0"/>
        <w:jc w:val="center"/>
      </w:pPr>
      <w:r>
        <w:rPr>
          <w:rFonts w:ascii="Times New Roman" w:hAnsi="Times New Roman" w:eastAsia="Times New Roman"/>
          <w:b/>
          <w:i w:val="0"/>
        </w:rPr>
        <w:t>CAPÍTULO VI</w:t>
      </w:r>
    </w:p>
    <w:p>
      <w:pPr>
        <w:pStyle w:val="Ttulo1"/>
        <w:spacing w:line="240" w:lineRule="auto" w:before="120" w:after="120"/>
        <w:ind w:firstLine="0"/>
        <w:jc w:val="center"/>
      </w:pPr>
      <w:r>
        <w:rPr>
          <w:rFonts w:ascii="Times New Roman" w:hAnsi="Times New Roman" w:eastAsia="Times New Roman"/>
          <w:b/>
          <w:i w:val="0"/>
        </w:rPr>
        <w:t>PRESENTACIÓN DE RESULTADOS Y ANÁLISIS</w:t>
      </w:r>
    </w:p>
    <w:p>
      <w:pPr>
        <w:pStyle w:val="Ttulo2"/>
        <w:spacing w:line="240" w:lineRule="auto" w:before="120" w:after="120"/>
        <w:ind w:firstLine="0"/>
      </w:pPr>
      <w:r>
        <w:rPr>
          <w:rFonts w:ascii="Times New Roman" w:hAnsi="Times New Roman" w:eastAsia="Times New Roman"/>
          <w:b/>
          <w:i w:val="0"/>
        </w:rPr>
        <w:t>6.1. CONTRASTACIÓN DE HIPÓTESIS</w:t>
      </w:r>
    </w:p>
    <w:p>
      <w:pPr>
        <w:pStyle w:val="Ttulo3"/>
        <w:spacing w:line="240" w:lineRule="auto" w:before="120" w:after="120"/>
        <w:ind w:firstLine="0"/>
      </w:pPr>
      <w:r>
        <w:rPr>
          <w:rFonts w:ascii="Times New Roman" w:hAnsi="Times New Roman" w:eastAsia="Times New Roman"/>
          <w:b/>
          <w:i w:val="0"/>
        </w:rPr>
        <w:t>6.1.1. Hipótesis de investigación</w:t>
      </w:r>
    </w:p>
    <w:p>
      <w:pPr>
        <w:spacing w:line="360" w:lineRule="auto" w:after="0"/>
        <w:ind w:firstLine="709"/>
        <w:jc w:val="both"/>
      </w:pPr>
      <w:r>
        <w:rPr>
          <w:rFonts w:ascii="Times New Roman" w:hAnsi="Times New Roman" w:eastAsia="Times New Roman"/>
          <w:b w:val="0"/>
          <w:i w:val="0"/>
          <w:sz w:val="24"/>
        </w:rPr>
        <w:t>Se trata de probar que los algoritmos de Deep Learning, representados por CNN/EfficientNetB0 y Swin-Tiny Transformer, presentan un desempeño eficiente en la identificación de variedades de papas nativas de la comunidad de Santa Carmen. En términos concretos, la hipótesis de investigación queda planteada de la siguiente manera:</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pStyle w:val="Ttulo3"/>
        <w:spacing w:line="240" w:lineRule="auto" w:before="120" w:after="120"/>
        <w:ind w:firstLine="0"/>
      </w:pPr>
      <w:r>
        <w:rPr>
          <w:rFonts w:ascii="Times New Roman" w:hAnsi="Times New Roman" w:eastAsia="Times New Roman"/>
          <w:b/>
          <w:i w:val="0"/>
        </w:rPr>
        <w:t>6.1.2. Hipótesis nula</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pStyle w:val="Ttulo3"/>
        <w:spacing w:line="240" w:lineRule="auto" w:before="120" w:after="120"/>
        <w:ind w:firstLine="0"/>
      </w:pPr>
      <w:r>
        <w:rPr>
          <w:rFonts w:ascii="Times New Roman" w:hAnsi="Times New Roman" w:eastAsia="Times New Roman"/>
          <w:b/>
          <w:i w:val="0"/>
        </w:rPr>
        <w:t>6.1.3. Prueba estadística paramétrica utilizada</w:t>
      </w:r>
    </w:p>
    <w:p>
      <w:pPr>
        <w:spacing w:line="360" w:lineRule="auto" w:after="0"/>
        <w:ind w:firstLine="709"/>
        <w:jc w:val="both"/>
      </w:pPr>
      <w:r>
        <w:rPr>
          <w:rFonts w:ascii="Times New Roman" w:hAnsi="Times New Roman" w:eastAsia="Times New Roman"/>
          <w:b w:val="0"/>
          <w:i w:val="0"/>
          <w:sz w:val="24"/>
        </w:rPr>
        <w:t>Para compatibilizar el tipo de investigación y el diseño seleccionado, se utilizó la prueba t de Student para una muestra. Esta prueba permite evaluar si el promedio obtenido en una métrica de desempeño difiere de manera significativa respecto a un valor mínimo esperado. En esta investigación, el valor de referencia fue μ₀ = 0.75, equivalente al 75 % de desempeño mínimo esperado.</w:t>
      </w:r>
    </w:p>
    <w:p>
      <w:pPr>
        <w:spacing w:line="360" w:lineRule="auto" w:after="0"/>
        <w:ind w:firstLine="0"/>
        <w:jc w:val="both"/>
      </w:pPr>
      <w:r>
        <w:rPr>
          <w:rFonts w:ascii="Times New Roman" w:hAnsi="Times New Roman" w:eastAsia="Times New Roman"/>
          <w:b w:val="0"/>
          <w:i w:val="0"/>
          <w:sz w:val="24"/>
        </w:rPr>
        <w:t>Su fórmula es: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234440" cy="614440"/>
            <wp:docPr id="2133673825" name="Picture 2133673825"/>
            <wp:cNvGraphicFramePr>
              <a:graphicFrameLocks noChangeAspect="1"/>
            </wp:cNvGraphicFramePr>
            <a:graphic>
              <a:graphicData uri="http://schemas.openxmlformats.org/drawingml/2006/picture">
                <pic:pic>
                  <pic:nvPicPr>
                    <pic:cNvPr id="0" name="formula_t_student_una_muestra_asesora.png"/>
                    <pic:cNvPicPr/>
                  </pic:nvPicPr>
                  <pic:blipFill>
                    <a:blip r:embed="rId73"/>
                    <a:stretch>
                      <a:fillRect/>
                    </a:stretch>
                  </pic:blipFill>
                  <pic:spPr>
                    <a:xfrm>
                      <a:off x="0" y="0"/>
                      <a:ext cx="1234440" cy="614440"/>
                    </a:xfrm>
                    <a:prstGeom prst="rect"/>
                  </pic:spPr>
                </pic:pic>
              </a:graphicData>
            </a:graphic>
          </wp:inline>
        </w:drawing>
      </w:r>
    </w:p>
    <w:p>
      <w:pPr>
        <w:spacing w:line="360" w:lineRule="auto" w:after="0"/>
        <w:ind w:firstLine="0"/>
        <w:jc w:val="both"/>
      </w:pPr>
      <w:r>
        <w:rPr>
          <w:rFonts w:ascii="Times New Roman" w:hAnsi="Times New Roman" w:eastAsia="Times New Roman"/>
          <w:b w:val="0"/>
          <w:i w:val="0"/>
          <w:sz w:val="24"/>
        </w:rPr>
        <w:t>Donde:</w:t>
      </w:r>
    </w:p>
    <w:p>
      <w:pPr>
        <w:spacing w:line="360" w:lineRule="auto" w:after="0"/>
        <w:ind w:firstLine="0"/>
        <w:jc w:val="both"/>
      </w:pPr>
      <w:r>
        <w:rPr>
          <w:rFonts w:ascii="Times New Roman" w:hAnsi="Times New Roman" w:eastAsia="Times New Roman"/>
          <w:b w:val="0"/>
          <w:i w:val="0"/>
          <w:sz w:val="24"/>
        </w:rPr>
        <w:t>x̄ = Promedio obtenido en la métrica de desempeño.</w:t>
      </w:r>
    </w:p>
    <w:p>
      <w:pPr>
        <w:spacing w:line="360" w:lineRule="auto" w:after="0"/>
        <w:ind w:firstLine="0"/>
        <w:jc w:val="both"/>
      </w:pPr>
      <w:r>
        <w:rPr>
          <w:rFonts w:ascii="Times New Roman" w:hAnsi="Times New Roman" w:eastAsia="Times New Roman"/>
          <w:b w:val="0"/>
          <w:i w:val="0"/>
          <w:sz w:val="24"/>
        </w:rPr>
        <w:t>μ₀ = Valor mínimo esperado de eficiencia (0.75).</w:t>
      </w:r>
    </w:p>
    <w:p>
      <w:pPr>
        <w:spacing w:line="360" w:lineRule="auto" w:after="0"/>
        <w:ind w:firstLine="0"/>
        <w:jc w:val="both"/>
      </w:pPr>
      <w:r>
        <w:rPr>
          <w:rFonts w:ascii="Times New Roman" w:hAnsi="Times New Roman" w:eastAsia="Times New Roman"/>
          <w:b w:val="0"/>
          <w:i w:val="0"/>
          <w:sz w:val="24"/>
        </w:rPr>
        <w:t>s = Desviación estándar de los valores analizados.</w:t>
      </w:r>
    </w:p>
    <w:p>
      <w:pPr>
        <w:spacing w:line="360" w:lineRule="auto" w:after="0"/>
        <w:ind w:firstLine="0"/>
        <w:jc w:val="both"/>
      </w:pPr>
      <w:r>
        <w:rPr>
          <w:rFonts w:ascii="Times New Roman" w:hAnsi="Times New Roman" w:eastAsia="Times New Roman"/>
          <w:b w:val="0"/>
          <w:i w:val="0"/>
          <w:sz w:val="24"/>
        </w:rPr>
        <w:t>n = Número de valores considerados en el contraste.</w:t>
      </w:r>
    </w:p>
    <w:p>
      <w:pPr>
        <w:spacing w:line="360" w:lineRule="auto" w:after="0"/>
        <w:ind w:firstLine="0"/>
        <w:jc w:val="both"/>
      </w:pPr>
      <w:r>
        <w:rPr>
          <w:rFonts w:ascii="Times New Roman" w:hAnsi="Times New Roman" w:eastAsia="Times New Roman"/>
          <w:b w:val="0"/>
          <w:i w:val="0"/>
          <w:sz w:val="24"/>
        </w:rPr>
        <w:t>Nivel de significancia:</w:t>
      </w:r>
    </w:p>
    <w:p>
      <w:pPr>
        <w:spacing w:line="360" w:lineRule="auto" w:after="0"/>
        <w:ind w:firstLine="0"/>
        <w:jc w:val="both"/>
      </w:pPr>
      <w:r>
        <w:rPr>
          <w:rFonts w:ascii="Times New Roman" w:hAnsi="Times New Roman" w:eastAsia="Times New Roman"/>
          <w:b w:val="0"/>
          <w:i w:val="0"/>
          <w:sz w:val="24"/>
        </w:rPr>
        <w:t>α = 0.05</w:t>
      </w:r>
    </w:p>
    <w:p>
      <w:pPr>
        <w:spacing w:line="360" w:lineRule="auto" w:after="0"/>
        <w:ind w:firstLine="0"/>
        <w:jc w:val="both"/>
      </w:pPr>
      <w:r>
        <w:rPr>
          <w:rFonts w:ascii="Times New Roman" w:hAnsi="Times New Roman" w:eastAsia="Times New Roman"/>
          <w:b w:val="0"/>
          <w:i w:val="0"/>
          <w:sz w:val="24"/>
        </w:rPr>
        <w:t>Decisión:</w:t>
      </w:r>
    </w:p>
    <w:p>
      <w:pPr>
        <w:spacing w:line="360" w:lineRule="auto" w:after="0"/>
        <w:ind w:firstLine="0"/>
        <w:jc w:val="both"/>
      </w:pPr>
      <w:r>
        <w:rPr>
          <w:rFonts w:ascii="Times New Roman" w:hAnsi="Times New Roman" w:eastAsia="Times New Roman"/>
          <w:b w:val="0"/>
          <w:i w:val="0"/>
          <w:sz w:val="24"/>
        </w:rPr>
        <w:t>Si p &lt; 0.05, se rechaza H0.</w:t>
      </w:r>
    </w:p>
    <w:p>
      <w:pPr>
        <w:spacing w:line="360" w:lineRule="auto" w:after="0"/>
        <w:ind w:firstLine="0"/>
        <w:jc w:val="both"/>
      </w:pPr>
      <w:r>
        <w:rPr>
          <w:rFonts w:ascii="Times New Roman" w:hAnsi="Times New Roman" w:eastAsia="Times New Roman"/>
          <w:b w:val="0"/>
          <w:i w:val="0"/>
          <w:sz w:val="24"/>
        </w:rPr>
        <w:t>Si p ≥ 0.05, no se rechaza H0.</w:t>
      </w:r>
    </w:p>
    <w:p>
      <w:pPr>
        <w:pStyle w:val="Ttulo2"/>
        <w:spacing w:line="240" w:lineRule="auto" w:before="120" w:after="120"/>
        <w:ind w:firstLine="0"/>
      </w:pPr>
      <w:r>
        <w:rPr>
          <w:rFonts w:ascii="Times New Roman" w:hAnsi="Times New Roman" w:eastAsia="Times New Roman"/>
          <w:b/>
          <w:i w:val="0"/>
        </w:rPr>
        <w:t>6.2. ANÁLISIS E INTERPRETACIÓN</w:t>
      </w:r>
    </w:p>
    <w:p>
      <w:pPr>
        <w:pStyle w:val="Ttulo3"/>
        <w:spacing w:line="240" w:lineRule="auto" w:before="120" w:after="120"/>
        <w:ind w:firstLine="0"/>
      </w:pPr>
      <w:r>
        <w:rPr>
          <w:rFonts w:ascii="Times New Roman" w:hAnsi="Times New Roman" w:eastAsia="Times New Roman"/>
          <w:b/>
          <w:i w:val="0"/>
        </w:rPr>
        <w:t>6.2.1. Prueba de hipótesis general</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0"/>
        <w:jc w:val="both"/>
      </w:pPr>
      <w:r>
        <w:rPr>
          <w:rFonts w:ascii="Times New Roman" w:hAnsi="Times New Roman" w:eastAsia="Times New Roman"/>
          <w:b w:val="0"/>
          <w:i w:val="0"/>
          <w:sz w:val="24"/>
        </w:rPr>
        <w:t>Tabla 18:</w:t>
      </w:r>
    </w:p>
    <w:p>
      <w:pPr>
        <w:spacing w:line="360" w:lineRule="auto" w:after="0"/>
        <w:ind w:firstLine="0"/>
        <w:jc w:val="both"/>
      </w:pPr>
      <w:r>
        <w:rPr>
          <w:rFonts w:ascii="Times New Roman" w:hAnsi="Times New Roman" w:eastAsia="Times New Roman"/>
          <w:b/>
          <w:i w:val="0"/>
          <w:sz w:val="24"/>
        </w:rPr>
        <w:t>Resumen del desempeño general de los algoritmos de Deep Learning</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ind w:firstLine="0"/>
              <w:jc w:val="center"/>
            </w:pPr>
            <w:r>
              <w:rPr>
                <w:rFonts w:ascii="Times New Roman" w:hAnsi="Times New Roman" w:eastAsia="Times New Roman"/>
                <w:b/>
                <w:sz w:val="24"/>
              </w:rPr>
              <w:t>Indicador</w:t>
            </w:r>
          </w:p>
        </w:tc>
        <w:tc>
          <w:tcPr>
            <w:tcW w:type="dxa" w:w="2340"/>
            <w:vAlign w:val="center"/>
          </w:tcPr>
          <w:p>
            <w:pPr>
              <w:spacing w:line="240" w:lineRule="auto" w:after="0"/>
              <w:ind w:firstLine="0"/>
              <w:jc w:val="center"/>
            </w:pPr>
            <w:r>
              <w:rPr>
                <w:rFonts w:ascii="Times New Roman" w:hAnsi="Times New Roman" w:eastAsia="Times New Roman"/>
                <w:b/>
                <w:sz w:val="24"/>
              </w:rPr>
              <w:t>Tamaño</w:t>
            </w:r>
          </w:p>
        </w:tc>
        <w:tc>
          <w:tcPr>
            <w:tcW w:type="dxa" w:w="2340"/>
            <w:vAlign w:val="center"/>
          </w:tcPr>
          <w:p>
            <w:pPr>
              <w:spacing w:line="240" w:lineRule="auto" w:after="0"/>
              <w:ind w:firstLine="0"/>
              <w:jc w:val="center"/>
            </w:pPr>
            <w:r>
              <w:rPr>
                <w:rFonts w:ascii="Times New Roman" w:hAnsi="Times New Roman" w:eastAsia="Times New Roman"/>
                <w:b/>
                <w:sz w:val="24"/>
              </w:rPr>
              <w:t>Promedio</w:t>
            </w:r>
          </w:p>
        </w:tc>
        <w:tc>
          <w:tcPr>
            <w:tcW w:type="dxa" w:w="2340"/>
            <w:vAlign w:val="center"/>
          </w:tcPr>
          <w:p>
            <w:pPr>
              <w:spacing w:line="240" w:lineRule="auto" w:after="0"/>
              <w:ind w:firstLine="0"/>
              <w:jc w:val="center"/>
            </w:pPr>
            <w:r>
              <w:rPr>
                <w:rFonts w:ascii="Times New Roman" w:hAnsi="Times New Roman" w:eastAsia="Times New Roman"/>
                <w:b/>
                <w:sz w:val="24"/>
              </w:rPr>
              <w:t>Desv.Std</w:t>
            </w:r>
          </w:p>
        </w:tc>
      </w:tr>
      <w:tr>
        <w:tc>
          <w:tcPr>
            <w:tcW w:type="dxa" w:w="2340"/>
            <w:vAlign w:val="center"/>
          </w:tcPr>
          <w:p>
            <w:pPr>
              <w:spacing w:line="240" w:lineRule="auto" w:after="0"/>
              <w:ind w:firstLine="0"/>
              <w:jc w:val="center"/>
            </w:pPr>
            <w:r>
              <w:rPr>
                <w:rFonts w:ascii="Times New Roman" w:hAnsi="Times New Roman" w:eastAsia="Times New Roman"/>
                <w:b w:val="0"/>
                <w:sz w:val="24"/>
              </w:rPr>
              <w:t>F1-score por clase</w:t>
            </w:r>
          </w:p>
        </w:tc>
        <w:tc>
          <w:tcPr>
            <w:tcW w:type="dxa" w:w="2340"/>
            <w:vAlign w:val="center"/>
          </w:tcPr>
          <w:p>
            <w:pPr>
              <w:spacing w:line="240" w:lineRule="auto" w:after="0"/>
              <w:ind w:firstLine="0"/>
              <w:jc w:val="center"/>
            </w:pPr>
            <w:r>
              <w:rPr>
                <w:rFonts w:ascii="Times New Roman" w:hAnsi="Times New Roman" w:eastAsia="Times New Roman"/>
                <w:b w:val="0"/>
                <w:sz w:val="24"/>
              </w:rPr>
              <w:t>14</w:t>
            </w:r>
          </w:p>
        </w:tc>
        <w:tc>
          <w:tcPr>
            <w:tcW w:type="dxa" w:w="2340"/>
            <w:vAlign w:val="center"/>
          </w:tcPr>
          <w:p>
            <w:pPr>
              <w:spacing w:line="240" w:lineRule="auto" w:after="0"/>
              <w:ind w:firstLine="0"/>
              <w:jc w:val="center"/>
            </w:pPr>
            <w:r>
              <w:rPr>
                <w:rFonts w:ascii="Times New Roman" w:hAnsi="Times New Roman" w:eastAsia="Times New Roman"/>
                <w:b w:val="0"/>
                <w:sz w:val="24"/>
              </w:rPr>
              <w:t>0.9947</w:t>
            </w:r>
          </w:p>
        </w:tc>
        <w:tc>
          <w:tcPr>
            <w:tcW w:type="dxa" w:w="2340"/>
            <w:vAlign w:val="center"/>
          </w:tcPr>
          <w:p>
            <w:pPr>
              <w:spacing w:line="240" w:lineRule="auto" w:after="0"/>
              <w:ind w:firstLine="0"/>
              <w:jc w:val="center"/>
            </w:pPr>
            <w:r>
              <w:rPr>
                <w:rFonts w:ascii="Times New Roman" w:hAnsi="Times New Roman" w:eastAsia="Times New Roman"/>
                <w:b w:val="0"/>
                <w:sz w:val="24"/>
              </w:rPr>
              <w:t>0.0041</w:t>
            </w:r>
          </w:p>
        </w:tc>
      </w:tr>
    </w:tbl>
    <w:p>
      <w:pPr>
        <w:spacing w:line="360" w:lineRule="auto" w:after="0"/>
        <w:ind w:firstLine="0"/>
        <w:jc w:val="both"/>
      </w:pPr>
      <w:r>
        <w:rPr>
          <w:rFonts w:ascii="Times New Roman" w:hAnsi="Times New Roman" w:eastAsia="Times New Roman"/>
          <w:b w:val="0"/>
          <w:i w:val="0"/>
          <w:sz w:val="24"/>
        </w:rPr>
        <w:t>Nota. Elaboración propia a partir de los resultados por clase de CNN/EfficientNetB0 y Swin-Tiny Transformer.</w:t>
      </w:r>
    </w:p>
    <w:p>
      <w:pPr>
        <w:spacing w:line="360" w:lineRule="auto" w:after="0"/>
        <w:ind w:firstLine="709"/>
        <w:jc w:val="both"/>
      </w:pPr>
      <w:r>
        <w:rPr>
          <w:rFonts w:ascii="Times New Roman" w:hAnsi="Times New Roman" w:eastAsia="Times New Roman"/>
          <w:b w:val="0"/>
          <w:i w:val="0"/>
          <w:sz w:val="24"/>
        </w:rPr>
        <w:t>Consolidado el F1-score por clase de ambos modelos, se obtuvo un promedio de 0.9947, superior al valor mínimo esperado de 0.75. Con esta información se procede a calcular el valor de t.</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234440" cy="614440"/>
            <wp:docPr id="2133673826" name="Picture 2133673826"/>
            <wp:cNvGraphicFramePr>
              <a:graphicFrameLocks noChangeAspect="1"/>
            </wp:cNvGraphicFramePr>
            <a:graphic>
              <a:graphicData uri="http://schemas.openxmlformats.org/drawingml/2006/picture">
                <pic:pic>
                  <pic:nvPicPr>
                    <pic:cNvPr id="0" name="formula_t_student_una_muestra_asesora.png"/>
                    <pic:cNvPicPr/>
                  </pic:nvPicPr>
                  <pic:blipFill>
                    <a:blip r:embed="rId73"/>
                    <a:stretch>
                      <a:fillRect/>
                    </a:stretch>
                  </pic:blipFill>
                  <pic:spPr>
                    <a:xfrm>
                      <a:off x="0" y="0"/>
                      <a:ext cx="1234440" cy="614440"/>
                    </a:xfrm>
                    <a:prstGeom prst="rect"/>
                  </pic:spPr>
                </pic:pic>
              </a:graphicData>
            </a:graphic>
          </wp:inline>
        </w:drawing>
      </w:r>
    </w:p>
    <w:p>
      <w:pPr>
        <w:spacing w:line="360" w:lineRule="auto" w:after="0"/>
        <w:ind w:firstLine="0"/>
        <w:jc w:val="center"/>
      </w:pPr>
      <w:r>
        <w:rPr>
          <w:rFonts w:ascii="Times New Roman" w:hAnsi="Times New Roman" w:eastAsia="Times New Roman"/>
          <w:b w:val="0"/>
          <w:i w:val="0"/>
          <w:sz w:val="24"/>
        </w:rPr>
        <w:t>t = 222.76</w:t>
      </w:r>
    </w:p>
    <w:p>
      <w:pPr>
        <w:spacing w:line="360" w:lineRule="auto" w:after="0"/>
        <w:ind w:firstLine="0"/>
        <w:jc w:val="both"/>
      </w:pPr>
      <w:r>
        <w:rPr>
          <w:rFonts w:ascii="Times New Roman" w:hAnsi="Times New Roman" w:eastAsia="Times New Roman"/>
          <w:b w:val="0"/>
          <w:i w:val="0"/>
          <w:sz w:val="24"/>
        </w:rPr>
        <w:t>Donde: si p ≥ α, no se rechaza H0; y si p &lt; α, se rechaza H0.</w:t>
      </w:r>
    </w:p>
    <w:p>
      <w:pPr>
        <w:spacing w:line="360" w:lineRule="auto" w:after="0"/>
        <w:ind w:firstLine="0"/>
        <w:jc w:val="both"/>
      </w:pPr>
      <w:r>
        <w:rPr>
          <w:rFonts w:ascii="Times New Roman" w:hAnsi="Times New Roman" w:eastAsia="Times New Roman"/>
          <w:b w:val="0"/>
          <w:i w:val="0"/>
          <w:sz w:val="24"/>
        </w:rPr>
        <w:t>Como p &lt; 0.001 &lt; 0.05, se rechaza H0G.</w:t>
      </w:r>
    </w:p>
    <w:p>
      <w:pPr>
        <w:spacing w:line="360" w:lineRule="auto" w:after="0"/>
        <w:ind w:firstLine="709"/>
        <w:jc w:val="both"/>
      </w:pPr>
      <w:r>
        <w:rPr>
          <w:rFonts w:ascii="Times New Roman" w:hAnsi="Times New Roman" w:eastAsia="Times New Roman"/>
          <w:b w:val="0"/>
          <w:i w:val="0"/>
          <w:sz w:val="24"/>
        </w:rPr>
        <w:t>El valor t calculado bajo las características planteadas es 222.76. Entonces, para un nivel de confianza del 95 % y significancia de 5 %, se aprueba la hipótesis de investigación y se rechaza la hipótesis nula.</w:t>
      </w:r>
    </w:p>
    <w:p>
      <w:pPr>
        <w:spacing w:line="360" w:lineRule="auto" w:after="0"/>
        <w:ind w:firstLine="709"/>
        <w:jc w:val="both"/>
      </w:pPr>
      <w:r>
        <w:rPr>
          <w:rFonts w:ascii="Times New Roman" w:hAnsi="Times New Roman" w:eastAsia="Times New Roman"/>
          <w:b w:val="0"/>
          <w:i w:val="0"/>
          <w:sz w:val="24"/>
        </w:rPr>
        <w:t>Por lo tanto, se concluye que los algoritmos de Deep Learning presentan un desempeño eficiente en la identificación de variedades de papas nativas en la comunidad de Santa Carmen.</w:t>
      </w:r>
    </w:p>
    <w:p>
      <w:pPr>
        <w:pStyle w:val="Ttulo3"/>
        <w:spacing w:line="240" w:lineRule="auto" w:before="120" w:after="120"/>
        <w:ind w:firstLine="0"/>
      </w:pPr>
      <w:r>
        <w:rPr>
          <w:rFonts w:ascii="Times New Roman" w:hAnsi="Times New Roman" w:eastAsia="Times New Roman"/>
          <w:b/>
          <w:i w:val="0"/>
        </w:rPr>
        <w:t>6.2.2. Prueba de hipótesis específica para el modelo CNN/EfficientNetB0</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0"/>
        <w:jc w:val="both"/>
      </w:pPr>
      <w:r>
        <w:rPr>
          <w:rFonts w:ascii="Times New Roman" w:hAnsi="Times New Roman" w:eastAsia="Times New Roman"/>
          <w:b w:val="0"/>
          <w:i w:val="0"/>
          <w:sz w:val="24"/>
        </w:rPr>
        <w:t>Tabla 19:</w:t>
      </w:r>
    </w:p>
    <w:p>
      <w:pPr>
        <w:spacing w:line="360" w:lineRule="auto" w:after="0"/>
        <w:ind w:firstLine="0"/>
        <w:jc w:val="both"/>
      </w:pPr>
      <w:r>
        <w:rPr>
          <w:rFonts w:ascii="Times New Roman" w:hAnsi="Times New Roman" w:eastAsia="Times New Roman"/>
          <w:b/>
          <w:i w:val="0"/>
          <w:sz w:val="24"/>
        </w:rPr>
        <w:t>Resumen del desempeño del modelo CNN/EfficientNetB0</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ind w:firstLine="0"/>
              <w:jc w:val="center"/>
            </w:pPr>
            <w:r>
              <w:rPr>
                <w:rFonts w:ascii="Times New Roman" w:hAnsi="Times New Roman" w:eastAsia="Times New Roman"/>
                <w:b/>
                <w:sz w:val="24"/>
              </w:rPr>
              <w:t>Indicador</w:t>
            </w:r>
          </w:p>
        </w:tc>
        <w:tc>
          <w:tcPr>
            <w:tcW w:type="dxa" w:w="2340"/>
            <w:vAlign w:val="center"/>
          </w:tcPr>
          <w:p>
            <w:pPr>
              <w:spacing w:line="240" w:lineRule="auto" w:after="0"/>
              <w:ind w:firstLine="0"/>
              <w:jc w:val="center"/>
            </w:pPr>
            <w:r>
              <w:rPr>
                <w:rFonts w:ascii="Times New Roman" w:hAnsi="Times New Roman" w:eastAsia="Times New Roman"/>
                <w:b/>
                <w:sz w:val="24"/>
              </w:rPr>
              <w:t>Tamaño</w:t>
            </w:r>
          </w:p>
        </w:tc>
        <w:tc>
          <w:tcPr>
            <w:tcW w:type="dxa" w:w="2340"/>
            <w:vAlign w:val="center"/>
          </w:tcPr>
          <w:p>
            <w:pPr>
              <w:spacing w:line="240" w:lineRule="auto" w:after="0"/>
              <w:ind w:firstLine="0"/>
              <w:jc w:val="center"/>
            </w:pPr>
            <w:r>
              <w:rPr>
                <w:rFonts w:ascii="Times New Roman" w:hAnsi="Times New Roman" w:eastAsia="Times New Roman"/>
                <w:b/>
                <w:sz w:val="24"/>
              </w:rPr>
              <w:t>Promedio</w:t>
            </w:r>
          </w:p>
        </w:tc>
        <w:tc>
          <w:tcPr>
            <w:tcW w:type="dxa" w:w="2340"/>
            <w:vAlign w:val="center"/>
          </w:tcPr>
          <w:p>
            <w:pPr>
              <w:spacing w:line="240" w:lineRule="auto" w:after="0"/>
              <w:ind w:firstLine="0"/>
              <w:jc w:val="center"/>
            </w:pPr>
            <w:r>
              <w:rPr>
                <w:rFonts w:ascii="Times New Roman" w:hAnsi="Times New Roman" w:eastAsia="Times New Roman"/>
                <w:b/>
                <w:sz w:val="24"/>
              </w:rPr>
              <w:t>Desv.Std</w:t>
            </w:r>
          </w:p>
        </w:tc>
      </w:tr>
      <w:tr>
        <w:tc>
          <w:tcPr>
            <w:tcW w:type="dxa" w:w="2340"/>
            <w:vAlign w:val="center"/>
          </w:tcPr>
          <w:p>
            <w:pPr>
              <w:spacing w:line="240" w:lineRule="auto" w:after="0"/>
              <w:ind w:firstLine="0"/>
              <w:jc w:val="center"/>
            </w:pPr>
            <w:r>
              <w:rPr>
                <w:rFonts w:ascii="Times New Roman" w:hAnsi="Times New Roman" w:eastAsia="Times New Roman"/>
                <w:b w:val="0"/>
                <w:sz w:val="24"/>
              </w:rPr>
              <w:t>F1-score por clase</w:t>
            </w:r>
          </w:p>
        </w:tc>
        <w:tc>
          <w:tcPr>
            <w:tcW w:type="dxa" w:w="2340"/>
            <w:vAlign w:val="center"/>
          </w:tcPr>
          <w:p>
            <w:pPr>
              <w:spacing w:line="240" w:lineRule="auto" w:after="0"/>
              <w:ind w:firstLine="0"/>
              <w:jc w:val="center"/>
            </w:pPr>
            <w:r>
              <w:rPr>
                <w:rFonts w:ascii="Times New Roman" w:hAnsi="Times New Roman" w:eastAsia="Times New Roman"/>
                <w:b w:val="0"/>
                <w:sz w:val="24"/>
              </w:rPr>
              <w:t>7</w:t>
            </w:r>
          </w:p>
        </w:tc>
        <w:tc>
          <w:tcPr>
            <w:tcW w:type="dxa" w:w="2340"/>
            <w:vAlign w:val="center"/>
          </w:tcPr>
          <w:p>
            <w:pPr>
              <w:spacing w:line="240" w:lineRule="auto" w:after="0"/>
              <w:ind w:firstLine="0"/>
              <w:jc w:val="center"/>
            </w:pPr>
            <w:r>
              <w:rPr>
                <w:rFonts w:ascii="Times New Roman" w:hAnsi="Times New Roman" w:eastAsia="Times New Roman"/>
                <w:b w:val="0"/>
                <w:sz w:val="24"/>
              </w:rPr>
              <w:t>0.9933</w:t>
            </w:r>
          </w:p>
        </w:tc>
        <w:tc>
          <w:tcPr>
            <w:tcW w:type="dxa" w:w="2340"/>
            <w:vAlign w:val="center"/>
          </w:tcPr>
          <w:p>
            <w:pPr>
              <w:spacing w:line="240" w:lineRule="auto" w:after="0"/>
              <w:ind w:firstLine="0"/>
              <w:jc w:val="center"/>
            </w:pPr>
            <w:r>
              <w:rPr>
                <w:rFonts w:ascii="Times New Roman" w:hAnsi="Times New Roman" w:eastAsia="Times New Roman"/>
                <w:b w:val="0"/>
                <w:sz w:val="24"/>
              </w:rPr>
              <w:t>0.0033</w:t>
            </w:r>
          </w:p>
        </w:tc>
      </w:tr>
    </w:tbl>
    <w:p>
      <w:pPr>
        <w:spacing w:line="360" w:lineRule="auto" w:after="0"/>
        <w:ind w:firstLine="0"/>
        <w:jc w:val="both"/>
      </w:pPr>
      <w:r>
        <w:rPr>
          <w:rFonts w:ascii="Times New Roman" w:hAnsi="Times New Roman" w:eastAsia="Times New Roman"/>
          <w:b w:val="0"/>
          <w:i w:val="0"/>
          <w:sz w:val="24"/>
        </w:rPr>
        <w:t>Nota. Elaboración propia a partir del reporte de clasificación del modelo CNN/EfficientNetB0.</w:t>
      </w:r>
    </w:p>
    <w:p>
      <w:pPr>
        <w:spacing w:line="360" w:lineRule="auto" w:after="0"/>
        <w:ind w:firstLine="709"/>
        <w:jc w:val="both"/>
      </w:pPr>
      <w:r>
        <w:rPr>
          <w:rFonts w:ascii="Times New Roman" w:hAnsi="Times New Roman" w:eastAsia="Times New Roman"/>
          <w:b w:val="0"/>
          <w:i w:val="0"/>
          <w:sz w:val="24"/>
        </w:rPr>
        <w:t>El modelo CNN/EfficientNetB0 obtuvo un promedio de F1-score por clase de 0.9933. Este valor supera el umbral de eficiencia de 0.75; con esta información se calcula el valor de t.</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234440" cy="614440"/>
            <wp:docPr id="2133673827" name="Picture 2133673827"/>
            <wp:cNvGraphicFramePr>
              <a:graphicFrameLocks noChangeAspect="1"/>
            </wp:cNvGraphicFramePr>
            <a:graphic>
              <a:graphicData uri="http://schemas.openxmlformats.org/drawingml/2006/picture">
                <pic:pic>
                  <pic:nvPicPr>
                    <pic:cNvPr id="0" name="formula_t_student_una_muestra_asesora.png"/>
                    <pic:cNvPicPr/>
                  </pic:nvPicPr>
                  <pic:blipFill>
                    <a:blip r:embed="rId73"/>
                    <a:stretch>
                      <a:fillRect/>
                    </a:stretch>
                  </pic:blipFill>
                  <pic:spPr>
                    <a:xfrm>
                      <a:off x="0" y="0"/>
                      <a:ext cx="1234440" cy="614440"/>
                    </a:xfrm>
                    <a:prstGeom prst="rect"/>
                  </pic:spPr>
                </pic:pic>
              </a:graphicData>
            </a:graphic>
          </wp:inline>
        </w:drawing>
      </w:r>
    </w:p>
    <w:p>
      <w:pPr>
        <w:spacing w:line="360" w:lineRule="auto" w:after="0"/>
        <w:ind w:firstLine="0"/>
        <w:jc w:val="center"/>
      </w:pPr>
      <w:r>
        <w:rPr>
          <w:rFonts w:ascii="Times New Roman" w:hAnsi="Times New Roman" w:eastAsia="Times New Roman"/>
          <w:b w:val="0"/>
          <w:i w:val="0"/>
          <w:sz w:val="24"/>
        </w:rPr>
        <w:t>t = 192.18</w:t>
      </w:r>
    </w:p>
    <w:p>
      <w:pPr>
        <w:spacing w:line="360" w:lineRule="auto" w:after="0"/>
        <w:ind w:firstLine="0"/>
        <w:jc w:val="both"/>
      </w:pPr>
      <w:r>
        <w:rPr>
          <w:rFonts w:ascii="Times New Roman" w:hAnsi="Times New Roman" w:eastAsia="Times New Roman"/>
          <w:b w:val="0"/>
          <w:i w:val="0"/>
          <w:sz w:val="24"/>
        </w:rPr>
        <w:t>Como p &lt; 0.001 &lt; 0.05, se rechaza H01.</w:t>
      </w:r>
    </w:p>
    <w:p>
      <w:pPr>
        <w:spacing w:line="360" w:lineRule="auto" w:after="0"/>
        <w:ind w:firstLine="709"/>
        <w:jc w:val="both"/>
      </w:pPr>
      <w:r>
        <w:rPr>
          <w:rFonts w:ascii="Times New Roman" w:hAnsi="Times New Roman" w:eastAsia="Times New Roman"/>
          <w:b w:val="0"/>
          <w:i w:val="0"/>
          <w:sz w:val="24"/>
        </w:rPr>
        <w:t>Por lo tanto, se acepta la hipótesis específica 1 y se concluye que el modelo CNN/EfficientNetB0 presenta un desempeño eficiente en la identificación de variedades de papas nativas.</w:t>
      </w:r>
    </w:p>
    <w:p>
      <w:pPr>
        <w:pStyle w:val="Ttulo3"/>
        <w:spacing w:line="240" w:lineRule="auto" w:before="120" w:after="120"/>
        <w:ind w:firstLine="0"/>
      </w:pPr>
      <w:r>
        <w:rPr>
          <w:rFonts w:ascii="Times New Roman" w:hAnsi="Times New Roman" w:eastAsia="Times New Roman"/>
          <w:b/>
          <w:i w:val="0"/>
        </w:rPr>
        <w:t>6.2.3. Prueba de hipótesis específica para el modelo Swin-Tiny Transformer</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0"/>
        <w:jc w:val="both"/>
      </w:pPr>
      <w:r>
        <w:rPr>
          <w:rFonts w:ascii="Times New Roman" w:hAnsi="Times New Roman" w:eastAsia="Times New Roman"/>
          <w:b w:val="0"/>
          <w:i w:val="0"/>
          <w:sz w:val="24"/>
        </w:rPr>
        <w:t>Tabla 20:</w:t>
      </w:r>
    </w:p>
    <w:p>
      <w:pPr>
        <w:spacing w:line="360" w:lineRule="auto" w:after="0"/>
        <w:ind w:firstLine="0"/>
        <w:jc w:val="both"/>
      </w:pPr>
      <w:r>
        <w:rPr>
          <w:rFonts w:ascii="Times New Roman" w:hAnsi="Times New Roman" w:eastAsia="Times New Roman"/>
          <w:b/>
          <w:i w:val="0"/>
          <w:sz w:val="24"/>
        </w:rPr>
        <w:t>Resumen del desempeño del modelo Swin-Tiny Transformer</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ind w:firstLine="0"/>
              <w:jc w:val="center"/>
            </w:pPr>
            <w:r>
              <w:rPr>
                <w:rFonts w:ascii="Times New Roman" w:hAnsi="Times New Roman" w:eastAsia="Times New Roman"/>
                <w:b/>
                <w:sz w:val="24"/>
              </w:rPr>
              <w:t>Indicador</w:t>
            </w:r>
          </w:p>
        </w:tc>
        <w:tc>
          <w:tcPr>
            <w:tcW w:type="dxa" w:w="2340"/>
            <w:vAlign w:val="center"/>
          </w:tcPr>
          <w:p>
            <w:pPr>
              <w:spacing w:line="240" w:lineRule="auto" w:after="0"/>
              <w:ind w:firstLine="0"/>
              <w:jc w:val="center"/>
            </w:pPr>
            <w:r>
              <w:rPr>
                <w:rFonts w:ascii="Times New Roman" w:hAnsi="Times New Roman" w:eastAsia="Times New Roman"/>
                <w:b/>
                <w:sz w:val="24"/>
              </w:rPr>
              <w:t>Tamaño</w:t>
            </w:r>
          </w:p>
        </w:tc>
        <w:tc>
          <w:tcPr>
            <w:tcW w:type="dxa" w:w="2340"/>
            <w:vAlign w:val="center"/>
          </w:tcPr>
          <w:p>
            <w:pPr>
              <w:spacing w:line="240" w:lineRule="auto" w:after="0"/>
              <w:ind w:firstLine="0"/>
              <w:jc w:val="center"/>
            </w:pPr>
            <w:r>
              <w:rPr>
                <w:rFonts w:ascii="Times New Roman" w:hAnsi="Times New Roman" w:eastAsia="Times New Roman"/>
                <w:b/>
                <w:sz w:val="24"/>
              </w:rPr>
              <w:t>Promedio</w:t>
            </w:r>
          </w:p>
        </w:tc>
        <w:tc>
          <w:tcPr>
            <w:tcW w:type="dxa" w:w="2340"/>
            <w:vAlign w:val="center"/>
          </w:tcPr>
          <w:p>
            <w:pPr>
              <w:spacing w:line="240" w:lineRule="auto" w:after="0"/>
              <w:ind w:firstLine="0"/>
              <w:jc w:val="center"/>
            </w:pPr>
            <w:r>
              <w:rPr>
                <w:rFonts w:ascii="Times New Roman" w:hAnsi="Times New Roman" w:eastAsia="Times New Roman"/>
                <w:b/>
                <w:sz w:val="24"/>
              </w:rPr>
              <w:t>Desv.Std</w:t>
            </w:r>
          </w:p>
        </w:tc>
      </w:tr>
      <w:tr>
        <w:tc>
          <w:tcPr>
            <w:tcW w:type="dxa" w:w="2340"/>
            <w:vAlign w:val="center"/>
          </w:tcPr>
          <w:p>
            <w:pPr>
              <w:spacing w:line="240" w:lineRule="auto" w:after="0"/>
              <w:ind w:firstLine="0"/>
              <w:jc w:val="center"/>
            </w:pPr>
            <w:r>
              <w:rPr>
                <w:rFonts w:ascii="Times New Roman" w:hAnsi="Times New Roman" w:eastAsia="Times New Roman"/>
                <w:b w:val="0"/>
                <w:sz w:val="24"/>
              </w:rPr>
              <w:t>F1-score por clase</w:t>
            </w:r>
          </w:p>
        </w:tc>
        <w:tc>
          <w:tcPr>
            <w:tcW w:type="dxa" w:w="2340"/>
            <w:vAlign w:val="center"/>
          </w:tcPr>
          <w:p>
            <w:pPr>
              <w:spacing w:line="240" w:lineRule="auto" w:after="0"/>
              <w:ind w:firstLine="0"/>
              <w:jc w:val="center"/>
            </w:pPr>
            <w:r>
              <w:rPr>
                <w:rFonts w:ascii="Times New Roman" w:hAnsi="Times New Roman" w:eastAsia="Times New Roman"/>
                <w:b w:val="0"/>
                <w:sz w:val="24"/>
              </w:rPr>
              <w:t>7</w:t>
            </w:r>
          </w:p>
        </w:tc>
        <w:tc>
          <w:tcPr>
            <w:tcW w:type="dxa" w:w="2340"/>
            <w:vAlign w:val="center"/>
          </w:tcPr>
          <w:p>
            <w:pPr>
              <w:spacing w:line="240" w:lineRule="auto" w:after="0"/>
              <w:ind w:firstLine="0"/>
              <w:jc w:val="center"/>
            </w:pPr>
            <w:r>
              <w:rPr>
                <w:rFonts w:ascii="Times New Roman" w:hAnsi="Times New Roman" w:eastAsia="Times New Roman"/>
                <w:b w:val="0"/>
                <w:sz w:val="24"/>
              </w:rPr>
              <w:t>0.9962</w:t>
            </w:r>
          </w:p>
        </w:tc>
        <w:tc>
          <w:tcPr>
            <w:tcW w:type="dxa" w:w="2340"/>
            <w:vAlign w:val="center"/>
          </w:tcPr>
          <w:p>
            <w:pPr>
              <w:spacing w:line="240" w:lineRule="auto" w:after="0"/>
              <w:ind w:firstLine="0"/>
              <w:jc w:val="center"/>
            </w:pPr>
            <w:r>
              <w:rPr>
                <w:rFonts w:ascii="Times New Roman" w:hAnsi="Times New Roman" w:eastAsia="Times New Roman"/>
                <w:b w:val="0"/>
                <w:sz w:val="24"/>
              </w:rPr>
              <w:t>0.0045</w:t>
            </w:r>
          </w:p>
        </w:tc>
      </w:tr>
    </w:tbl>
    <w:p>
      <w:pPr>
        <w:spacing w:line="360" w:lineRule="auto" w:after="0"/>
        <w:ind w:firstLine="0"/>
        <w:jc w:val="both"/>
      </w:pPr>
      <w:r>
        <w:rPr>
          <w:rFonts w:ascii="Times New Roman" w:hAnsi="Times New Roman" w:eastAsia="Times New Roman"/>
          <w:b w:val="0"/>
          <w:i w:val="0"/>
          <w:sz w:val="24"/>
        </w:rPr>
        <w:t>Nota. Elaboración propia a partir del reporte de clasificación del modelo Swin-Tiny Transformer.</w:t>
      </w:r>
    </w:p>
    <w:p>
      <w:pPr>
        <w:spacing w:line="360" w:lineRule="auto" w:after="0"/>
        <w:ind w:firstLine="709"/>
        <w:jc w:val="both"/>
      </w:pPr>
      <w:r>
        <w:rPr>
          <w:rFonts w:ascii="Times New Roman" w:hAnsi="Times New Roman" w:eastAsia="Times New Roman"/>
          <w:b w:val="0"/>
          <w:i w:val="0"/>
          <w:sz w:val="24"/>
        </w:rPr>
        <w:t>El modelo Swin-Tiny Transformer obtuvo un promedio de F1-score por clase de 0.9962. Este valor supera el umbral de eficiencia de 0.75; con esta información se calcula el valor de t.</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234440" cy="614440"/>
            <wp:docPr id="2133673828" name="Picture 2133673828"/>
            <wp:cNvGraphicFramePr>
              <a:graphicFrameLocks noChangeAspect="1"/>
            </wp:cNvGraphicFramePr>
            <a:graphic>
              <a:graphicData uri="http://schemas.openxmlformats.org/drawingml/2006/picture">
                <pic:pic>
                  <pic:nvPicPr>
                    <pic:cNvPr id="0" name="formula_t_student_una_muestra_asesora.png"/>
                    <pic:cNvPicPr/>
                  </pic:nvPicPr>
                  <pic:blipFill>
                    <a:blip r:embed="rId73"/>
                    <a:stretch>
                      <a:fillRect/>
                    </a:stretch>
                  </pic:blipFill>
                  <pic:spPr>
                    <a:xfrm>
                      <a:off x="0" y="0"/>
                      <a:ext cx="1234440" cy="614440"/>
                    </a:xfrm>
                    <a:prstGeom prst="rect"/>
                  </pic:spPr>
                </pic:pic>
              </a:graphicData>
            </a:graphic>
          </wp:inline>
        </w:drawing>
      </w:r>
    </w:p>
    <w:p>
      <w:pPr>
        <w:spacing w:line="360" w:lineRule="auto" w:after="0"/>
        <w:ind w:firstLine="0"/>
        <w:jc w:val="center"/>
      </w:pPr>
      <w:r>
        <w:rPr>
          <w:rFonts w:ascii="Times New Roman" w:hAnsi="Times New Roman" w:eastAsia="Times New Roman"/>
          <w:b w:val="0"/>
          <w:i w:val="0"/>
          <w:sz w:val="24"/>
        </w:rPr>
        <w:t>t = 143.24</w:t>
      </w:r>
    </w:p>
    <w:p>
      <w:pPr>
        <w:spacing w:line="360" w:lineRule="auto" w:after="0"/>
        <w:ind w:firstLine="0"/>
        <w:jc w:val="both"/>
      </w:pPr>
      <w:r>
        <w:rPr>
          <w:rFonts w:ascii="Times New Roman" w:hAnsi="Times New Roman" w:eastAsia="Times New Roman"/>
          <w:b w:val="0"/>
          <w:i w:val="0"/>
          <w:sz w:val="24"/>
        </w:rPr>
        <w:t>Como p &lt; 0.001 &lt; 0.05, se rechaza H02.</w:t>
      </w:r>
    </w:p>
    <w:p>
      <w:pPr>
        <w:spacing w:line="360" w:lineRule="auto" w:after="0"/>
        <w:ind w:firstLine="709"/>
        <w:jc w:val="both"/>
      </w:pPr>
      <w:r>
        <w:rPr>
          <w:rFonts w:ascii="Times New Roman" w:hAnsi="Times New Roman" w:eastAsia="Times New Roman"/>
          <w:b w:val="0"/>
          <w:i w:val="0"/>
          <w:sz w:val="24"/>
        </w:rPr>
        <w:t>Por lo tanto, se acepta la hipótesis específica 2 y se concluye que el modelo Swin-Tiny Transformer presenta un desempeño eficiente en la identificación de variedades de papas nativas.</w:t>
      </w:r>
    </w:p>
    <w:p>
      <w:pPr>
        <w:pStyle w:val="Ttulo3"/>
        <w:spacing w:line="240" w:lineRule="auto" w:before="120" w:after="120"/>
        <w:ind w:firstLine="0"/>
      </w:pPr>
      <w:r>
        <w:rPr>
          <w:rFonts w:ascii="Times New Roman" w:hAnsi="Times New Roman" w:eastAsia="Times New Roman"/>
          <w:b/>
          <w:i w:val="0"/>
        </w:rPr>
        <w:t>6.2.4. Prueba de hipótesis específica para la comparación entre CNN/EfficientNetB0 y Swin-Tiny Transformer</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Para esta hipótesis se utilizó la prueba t de Student pareada, porque se comparan los valores de F1-score de ambos modelos en las mismas siete variedades.</w:t>
      </w:r>
    </w:p>
    <w:p>
      <w:pPr>
        <w:spacing w:line="360" w:lineRule="auto" w:after="0"/>
        <w:ind w:firstLine="0"/>
        <w:jc w:val="both"/>
      </w:pPr>
      <w:r>
        <w:rPr>
          <w:rFonts w:ascii="Times New Roman" w:hAnsi="Times New Roman" w:eastAsia="Times New Roman"/>
          <w:b w:val="0"/>
          <w:i w:val="0"/>
          <w:sz w:val="24"/>
        </w:rPr>
        <w:t>Su fórmula es: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097280" cy="608098"/>
            <wp:docPr id="2133673829" name="Picture 2133673829"/>
            <wp:cNvGraphicFramePr>
              <a:graphicFrameLocks noChangeAspect="1"/>
            </wp:cNvGraphicFramePr>
            <a:graphic>
              <a:graphicData uri="http://schemas.openxmlformats.org/drawingml/2006/picture">
                <pic:pic>
                  <pic:nvPicPr>
                    <pic:cNvPr id="0" name="formula_t_pareada_asesora.png"/>
                    <pic:cNvPicPr/>
                  </pic:nvPicPr>
                  <pic:blipFill>
                    <a:blip r:embed="rId74"/>
                    <a:stretch>
                      <a:fillRect/>
                    </a:stretch>
                  </pic:blipFill>
                  <pic:spPr>
                    <a:xfrm>
                      <a:off x="0" y="0"/>
                      <a:ext cx="1097280" cy="608098"/>
                    </a:xfrm>
                    <a:prstGeom prst="rect"/>
                  </pic:spPr>
                </pic:pic>
              </a:graphicData>
            </a:graphic>
          </wp:inline>
        </w:drawing>
      </w:r>
    </w:p>
    <w:p>
      <w:pPr>
        <w:spacing w:line="360" w:lineRule="auto" w:after="0"/>
        <w:ind w:firstLine="0"/>
        <w:jc w:val="both"/>
      </w:pPr>
      <w:r>
        <w:rPr>
          <w:rFonts w:ascii="Times New Roman" w:hAnsi="Times New Roman" w:eastAsia="Times New Roman"/>
          <w:b w:val="0"/>
          <w:i w:val="0"/>
          <w:sz w:val="24"/>
        </w:rPr>
        <w:t>Donde:</w:t>
      </w:r>
    </w:p>
    <w:p>
      <w:pPr>
        <w:spacing w:line="360" w:lineRule="auto" w:after="0"/>
        <w:ind w:firstLine="0"/>
        <w:jc w:val="both"/>
      </w:pPr>
      <w:r>
        <w:rPr>
          <w:rFonts w:ascii="Times New Roman" w:hAnsi="Times New Roman" w:eastAsia="Times New Roman"/>
          <w:b w:val="0"/>
          <w:i w:val="0"/>
          <w:sz w:val="24"/>
        </w:rPr>
        <w:t>D̄ = Promedio de las diferencias entre ambos modelos.</w:t>
      </w:r>
    </w:p>
    <w:p>
      <w:pPr>
        <w:spacing w:line="360" w:lineRule="auto" w:after="0"/>
        <w:ind w:firstLine="0"/>
        <w:jc w:val="both"/>
      </w:pPr>
      <w:r>
        <w:rPr>
          <w:rFonts w:ascii="Times New Roman" w:hAnsi="Times New Roman" w:eastAsia="Times New Roman"/>
          <w:b w:val="0"/>
          <w:i w:val="0"/>
          <w:sz w:val="24"/>
        </w:rPr>
        <w:t>sD = Desviación estándar de las diferencias.</w:t>
      </w:r>
    </w:p>
    <w:p>
      <w:pPr>
        <w:spacing w:line="360" w:lineRule="auto" w:after="0"/>
        <w:ind w:firstLine="0"/>
        <w:jc w:val="both"/>
      </w:pPr>
      <w:r>
        <w:rPr>
          <w:rFonts w:ascii="Times New Roman" w:hAnsi="Times New Roman" w:eastAsia="Times New Roman"/>
          <w:b w:val="0"/>
          <w:i w:val="0"/>
          <w:sz w:val="24"/>
        </w:rPr>
        <w:t>n = Número de pares comparados.</w:t>
      </w:r>
    </w:p>
    <w:p>
      <w:pPr>
        <w:spacing w:line="360" w:lineRule="auto" w:after="0"/>
        <w:ind w:firstLine="0"/>
        <w:jc w:val="both"/>
      </w:pPr>
      <w:r>
        <w:rPr>
          <w:rFonts w:ascii="Times New Roman" w:hAnsi="Times New Roman" w:eastAsia="Times New Roman"/>
          <w:b w:val="0"/>
          <w:i w:val="0"/>
          <w:sz w:val="24"/>
        </w:rPr>
        <w:t>Tabla 21:</w:t>
      </w:r>
    </w:p>
    <w:p>
      <w:pPr>
        <w:spacing w:line="360" w:lineRule="auto" w:after="0"/>
        <w:ind w:firstLine="0"/>
        <w:jc w:val="both"/>
      </w:pPr>
      <w:r>
        <w:rPr>
          <w:rFonts w:ascii="Times New Roman" w:hAnsi="Times New Roman" w:eastAsia="Times New Roman"/>
          <w:b/>
          <w:i w:val="0"/>
          <w:sz w:val="24"/>
        </w:rPr>
        <w:t>Resumen comparativo entre CNN/EfficientNetB0 y Swin-Tiny Transformer</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ind w:firstLine="0"/>
              <w:jc w:val="center"/>
            </w:pPr>
            <w:r>
              <w:rPr>
                <w:rFonts w:ascii="Times New Roman" w:hAnsi="Times New Roman" w:eastAsia="Times New Roman"/>
                <w:b/>
                <w:sz w:val="24"/>
              </w:rPr>
              <w:t>Indicador</w:t>
            </w:r>
          </w:p>
        </w:tc>
        <w:tc>
          <w:tcPr>
            <w:tcW w:type="dxa" w:w="2340"/>
            <w:vAlign w:val="center"/>
          </w:tcPr>
          <w:p>
            <w:pPr>
              <w:spacing w:line="240" w:lineRule="auto" w:after="0"/>
              <w:ind w:firstLine="0"/>
              <w:jc w:val="center"/>
            </w:pPr>
            <w:r>
              <w:rPr>
                <w:rFonts w:ascii="Times New Roman" w:hAnsi="Times New Roman" w:eastAsia="Times New Roman"/>
                <w:b/>
                <w:sz w:val="24"/>
              </w:rPr>
              <w:t>Tamaño</w:t>
            </w:r>
          </w:p>
        </w:tc>
        <w:tc>
          <w:tcPr>
            <w:tcW w:type="dxa" w:w="2340"/>
            <w:vAlign w:val="center"/>
          </w:tcPr>
          <w:p>
            <w:pPr>
              <w:spacing w:line="240" w:lineRule="auto" w:after="0"/>
              <w:ind w:firstLine="0"/>
              <w:jc w:val="center"/>
            </w:pPr>
            <w:r>
              <w:rPr>
                <w:rFonts w:ascii="Times New Roman" w:hAnsi="Times New Roman" w:eastAsia="Times New Roman"/>
                <w:b/>
                <w:sz w:val="24"/>
              </w:rPr>
              <w:t>Diferencia promedio</w:t>
            </w:r>
          </w:p>
        </w:tc>
        <w:tc>
          <w:tcPr>
            <w:tcW w:type="dxa" w:w="2340"/>
            <w:vAlign w:val="center"/>
          </w:tcPr>
          <w:p>
            <w:pPr>
              <w:spacing w:line="240" w:lineRule="auto" w:after="0"/>
              <w:ind w:firstLine="0"/>
              <w:jc w:val="center"/>
            </w:pPr>
            <w:r>
              <w:rPr>
                <w:rFonts w:ascii="Times New Roman" w:hAnsi="Times New Roman" w:eastAsia="Times New Roman"/>
                <w:b/>
                <w:sz w:val="24"/>
              </w:rPr>
              <w:t>Desv.Std</w:t>
            </w:r>
          </w:p>
        </w:tc>
      </w:tr>
      <w:tr>
        <w:tc>
          <w:tcPr>
            <w:tcW w:type="dxa" w:w="2340"/>
            <w:vAlign w:val="center"/>
          </w:tcPr>
          <w:p>
            <w:pPr>
              <w:spacing w:line="240" w:lineRule="auto" w:after="0"/>
              <w:ind w:firstLine="0"/>
              <w:jc w:val="center"/>
            </w:pPr>
            <w:r>
              <w:rPr>
                <w:rFonts w:ascii="Times New Roman" w:hAnsi="Times New Roman" w:eastAsia="Times New Roman"/>
                <w:b w:val="0"/>
                <w:sz w:val="24"/>
              </w:rPr>
              <w:t>F1-score pareado por clase</w:t>
            </w:r>
          </w:p>
        </w:tc>
        <w:tc>
          <w:tcPr>
            <w:tcW w:type="dxa" w:w="2340"/>
            <w:vAlign w:val="center"/>
          </w:tcPr>
          <w:p>
            <w:pPr>
              <w:spacing w:line="240" w:lineRule="auto" w:after="0"/>
              <w:ind w:firstLine="0"/>
              <w:jc w:val="center"/>
            </w:pPr>
            <w:r>
              <w:rPr>
                <w:rFonts w:ascii="Times New Roman" w:hAnsi="Times New Roman" w:eastAsia="Times New Roman"/>
                <w:b w:val="0"/>
                <w:sz w:val="24"/>
              </w:rPr>
              <w:t>7</w:t>
            </w:r>
          </w:p>
        </w:tc>
        <w:tc>
          <w:tcPr>
            <w:tcW w:type="dxa" w:w="2340"/>
            <w:vAlign w:val="center"/>
          </w:tcPr>
          <w:p>
            <w:pPr>
              <w:spacing w:line="240" w:lineRule="auto" w:after="0"/>
              <w:ind w:firstLine="0"/>
              <w:jc w:val="center"/>
            </w:pPr>
            <w:r>
              <w:rPr>
                <w:rFonts w:ascii="Times New Roman" w:hAnsi="Times New Roman" w:eastAsia="Times New Roman"/>
                <w:b w:val="0"/>
                <w:sz w:val="24"/>
              </w:rPr>
              <w:t>0.0028</w:t>
            </w:r>
          </w:p>
        </w:tc>
        <w:tc>
          <w:tcPr>
            <w:tcW w:type="dxa" w:w="2340"/>
            <w:vAlign w:val="center"/>
          </w:tcPr>
          <w:p>
            <w:pPr>
              <w:spacing w:line="240" w:lineRule="auto" w:after="0"/>
              <w:ind w:firstLine="0"/>
              <w:jc w:val="center"/>
            </w:pPr>
            <w:r>
              <w:rPr>
                <w:rFonts w:ascii="Times New Roman" w:hAnsi="Times New Roman" w:eastAsia="Times New Roman"/>
                <w:b w:val="0"/>
                <w:sz w:val="24"/>
              </w:rPr>
              <w:t>0.0045</w:t>
            </w:r>
          </w:p>
        </w:tc>
      </w:tr>
    </w:tbl>
    <w:p>
      <w:pPr>
        <w:spacing w:line="360" w:lineRule="auto" w:after="0"/>
        <w:ind w:firstLine="0"/>
        <w:jc w:val="both"/>
      </w:pPr>
      <w:r>
        <w:rPr>
          <w:rFonts w:ascii="Times New Roman" w:hAnsi="Times New Roman" w:eastAsia="Times New Roman"/>
          <w:b w:val="0"/>
          <w:i w:val="0"/>
          <w:sz w:val="24"/>
        </w:rPr>
        <w:t>Nota. Elaboración propia a partir de la diferencia de F1-score por variedad entre ambos modelos.</w:t>
      </w:r>
    </w:p>
    <w:p>
      <w:pPr>
        <w:spacing w:line="360" w:lineRule="auto" w:after="0"/>
        <w:ind w:firstLine="709"/>
        <w:jc w:val="both"/>
      </w:pPr>
      <w:r>
        <w:rPr>
          <w:rFonts w:ascii="Times New Roman" w:hAnsi="Times New Roman" w:eastAsia="Times New Roman"/>
          <w:b w:val="0"/>
          <w:i w:val="0"/>
          <w:sz w:val="24"/>
        </w:rPr>
        <w:t>Consolidada la diferencia de F1-score por clase, se obtuvo una diferencia promedio de 0.0028 a favor de Swin-Tiny Transformer. Con esta información se procede a calcular el valor de t pareada.</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1097280" cy="608098"/>
            <wp:docPr id="2133673830" name="Picture 2133673830"/>
            <wp:cNvGraphicFramePr>
              <a:graphicFrameLocks noChangeAspect="1"/>
            </wp:cNvGraphicFramePr>
            <a:graphic>
              <a:graphicData uri="http://schemas.openxmlformats.org/drawingml/2006/picture">
                <pic:pic>
                  <pic:nvPicPr>
                    <pic:cNvPr id="0" name="formula_t_pareada_asesora.png"/>
                    <pic:cNvPicPr/>
                  </pic:nvPicPr>
                  <pic:blipFill>
                    <a:blip r:embed="rId74"/>
                    <a:stretch>
                      <a:fillRect/>
                    </a:stretch>
                  </pic:blipFill>
                  <pic:spPr>
                    <a:xfrm>
                      <a:off x="0" y="0"/>
                      <a:ext cx="1097280" cy="608098"/>
                    </a:xfrm>
                    <a:prstGeom prst="rect"/>
                  </pic:spPr>
                </pic:pic>
              </a:graphicData>
            </a:graphic>
          </wp:inline>
        </w:drawing>
      </w:r>
    </w:p>
    <w:p>
      <w:pPr>
        <w:spacing w:line="360" w:lineRule="auto" w:after="0"/>
        <w:ind w:firstLine="0"/>
        <w:jc w:val="center"/>
      </w:pPr>
      <w:r>
        <w:rPr>
          <w:rFonts w:ascii="Times New Roman" w:hAnsi="Times New Roman" w:eastAsia="Times New Roman"/>
          <w:b w:val="0"/>
          <w:i w:val="0"/>
          <w:sz w:val="24"/>
        </w:rPr>
        <w:t>t = 1.67</w:t>
      </w:r>
    </w:p>
    <w:p>
      <w:pPr>
        <w:spacing w:line="360" w:lineRule="auto" w:after="0"/>
        <w:ind w:firstLine="0"/>
        <w:jc w:val="both"/>
      </w:pPr>
      <w:r>
        <w:rPr>
          <w:rFonts w:ascii="Times New Roman" w:hAnsi="Times New Roman" w:eastAsia="Times New Roman"/>
          <w:b w:val="0"/>
          <w:i w:val="0"/>
          <w:sz w:val="24"/>
        </w:rPr>
        <w:t>Donde: si p ≥ α, no se rechaza H0; y si p &lt; α, se rechaza H0.</w:t>
      </w:r>
    </w:p>
    <w:p>
      <w:pPr>
        <w:spacing w:line="360" w:lineRule="auto" w:after="0"/>
        <w:ind w:firstLine="0"/>
        <w:jc w:val="both"/>
      </w:pPr>
      <w:r>
        <w:rPr>
          <w:rFonts w:ascii="Times New Roman" w:hAnsi="Times New Roman" w:eastAsia="Times New Roman"/>
          <w:b w:val="0"/>
          <w:i w:val="0"/>
          <w:sz w:val="24"/>
        </w:rPr>
        <w:t>Como p = 0.145 ≥ 0.05, no se rechaza H03.</w:t>
      </w:r>
    </w:p>
    <w:p>
      <w:pPr>
        <w:spacing w:line="360" w:lineRule="auto" w:after="0"/>
        <w:ind w:firstLine="709"/>
        <w:jc w:val="both"/>
      </w:pPr>
      <w:r>
        <w:rPr>
          <w:rFonts w:ascii="Times New Roman" w:hAnsi="Times New Roman" w:eastAsia="Times New Roman"/>
          <w:b w:val="0"/>
          <w:i w:val="0"/>
          <w:sz w:val="24"/>
        </w:rPr>
        <w:t>El valor t calculado bajo las características planteadas es 1.67. Entonces, para un nivel de confianza del 95 % y significancia de 5 %, no se aprueba la hipótesis específica 3 como diferencia estadísticamente significativa.</w:t>
      </w:r>
    </w:p>
    <w:p>
      <w:pPr>
        <w:spacing w:line="360" w:lineRule="auto" w:after="0"/>
        <w:ind w:firstLine="709"/>
        <w:jc w:val="both"/>
      </w:pPr>
      <w:r>
        <w:rPr>
          <w:rFonts w:ascii="Times New Roman" w:hAnsi="Times New Roman" w:eastAsia="Times New Roman"/>
          <w:b w:val="0"/>
          <w:i w:val="0"/>
          <w:sz w:val="24"/>
        </w:rPr>
        <w:t>Por lo tanto, se concluye que Swin-Tiny Transformer presenta una ventaja descriptiva frente a CNN/EfficientNetB0; sin embargo, la diferencia no alcanza significancia estadística en el contraste por F1-score de clase.</w:t>
      </w:r>
    </w:p>
    <w:p w14:paraId="68ADDF50" w14:textId="2CE44E43" w:rsidR="00712815" w:rsidRPr="00691D60" w:rsidRDefault="005A077D" w:rsidP="00691D60">
      <w:pPr>
        <w:pStyle w:val="Ttulo1"/>
        <w:spacing w:before="120" w:after="120" w:line="240" w:lineRule="auto"/>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estadístico definido para la investigación, según el cual un F1-score promedio por clase igual o superior a 0.75 evidencia desempeño eficiente.</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360" w:lineRule="auto" w:after="0"/>
        <w:ind w:firstLine="0"/>
        <w:jc w:val="both"/>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360" w:lineRule="auto"/>
        <w:ind w:firstLine="0"/>
        <w:jc w:val="both"/>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40"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40"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40"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40"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firstLine="0"/>
        <w:jc w:val="both"/>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firstLine="0"/>
        <w:jc w:val="both"/>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