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360" w:lineRule="auto" w:after="0"/>
        <w:ind w:firstLine="709"/>
        <w:jc w:val="both"/>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360" w:lineRule="auto" w:after="0"/>
        <w:ind w:firstLine="709"/>
        <w:jc w:val="both"/>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con F1-score por clase confirmó que ambos modelos superan el umbral de eficiencia de 0.75 (p &lt; 0.001). La comparación pareada por clase no evidenció diferencia estadísticamente significativa entre ambos modelos (p = 0.145), aunque Swin-Tiny Transformer presentó una ventaja descriptiva ligera. Se concluye que los dos modelos presentan desempeño eficiente dentro del corpus evaluado.</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Statistical testing using class-level F1-scores confirmed that both models exceeded the 0.75 efficiency threshold (p &lt; 0.001). The paired class-level comparison did not show a statistically significant difference between models (p = 0.145), although Swin-Tiny Transformer showed a slight descriptive advantage. The study concludes that both models achieved efficient performance within the evaluated corpus.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iskaynin modeloqa desempeño eficiente nisqayuq kasqanta tukuchikun.</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y a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mediante métricas globales, métricas por clase y contrastación estadística sobre F1-score por variedad. La comparación permitió evaluar la eficiencia de cada modelo y determinar si la diferencia entre ambos era estadísticamente significativa.</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Se formularon hipótesis de investigación porque el estudio mide cuantitativamente el desempeño de modelos de Deep Learning y contrasta sus resultados mediante métricas de clasificación. Para la interpretación se adoptó como valor de referencia μ₀ = 0.75, de modo que un modelo se considera eficiente cuando su F1-score promedio por clase es igual o superior a dicho umbral.</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El contraste estadístico se realizó con un nivel de significancia α = 0.05. Para la hipótesis general y las hipótesis específicas 1 y 2 se utilizó la prueba t de Student para una muestra, comparando el F1-score promedio por clase contra μ₀ = 0.75. Para la hipótesis específica 3 se utilizó una prueba t pareada sobre las diferencias de F1-score por clase entre CNN/EfficientNetB0 y Swin-Tiny Transformer.</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validez de los datos se fortaleció mediante la organización de imágenes por variedad, la revisión de etiquetas y la aplicación de criterios de inclusión y exclusión. Este control permitió reducir errores ocasionados por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0"/>
        <w:jc w:val="both"/>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firstLine="0"/>
        <w:jc w:val="both"/>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firstLine="0"/>
        <w:jc w:val="both"/>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firstLine="0"/>
        <w:jc w:val="both"/>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firstLine="0"/>
        <w:jc w:val="both"/>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firstLine="0"/>
        <w:jc w:val="both"/>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firstLine="0"/>
        <w:jc w:val="both"/>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firstLine="0"/>
        <w:jc w:val="both"/>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firstLine="0"/>
        <w:jc w:val="both"/>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360" w:lineRule="auto"/>
        <w:ind w:firstLine="0"/>
        <w:jc w:val="both"/>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firstLine="0"/>
        <w:jc w:val="both"/>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firstLine="0"/>
        <w:jc w:val="both"/>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firstLine="0"/>
        <w:jc w:val="both"/>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360" w:lineRule="auto"/>
        <w:ind w:firstLine="0"/>
        <w:jc w:val="both"/>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estadística entre CNN/EfficientNetB0 y Swin-Tiny Transformer se realizó a partir del F1-score por clase. Esta prueba complementó la comparación descriptiva de métricas globales y permitió evaluar formalmente si la diferencia entre ambos modelos era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firstLine="0"/>
        <w:jc w:val="both"/>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Unidad de contraste</w:t>
            </w:r>
          </w:p>
        </w:tc>
        <w:tc>
          <w:tcPr>
            <w:tcW w:w="3265" w:type="dxa"/>
            <w:tcBorders>
              <w:top w:val="single" w:sz="4" w:space="0" w:color="auto"/>
            </w:tcBorders>
            <w:vAlign w:val="center"/>
            <w:hideMark/>
          </w:tcPr>
          <w:p w14:paraId="134675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F1-score por clase en las siete variedades evaluadas.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eficiencia</w:t>
            </w:r>
          </w:p>
        </w:tc>
        <w:tc>
          <w:tcPr>
            <w:tcW w:w="3265" w:type="dxa"/>
            <w:vAlign w:val="center"/>
            <w:hideMark/>
          </w:tcPr>
          <w:p w14:paraId="3B0AAD0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para una muestra contra μ₀ = 0.75.</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comparación</w:t>
            </w:r>
          </w:p>
        </w:tc>
        <w:tc>
          <w:tcPr>
            <w:tcW w:w="3265" w:type="dxa"/>
            <w:vAlign w:val="center"/>
            <w:hideMark/>
          </w:tcPr>
          <w:p w14:paraId="2B4393E6"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pareada entre F1-score por clase de CNN/EfficientNetB0 y Swin-Tiny Transformer.</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Nivel de significancia</w:t>
            </w:r>
          </w:p>
        </w:tc>
        <w:tc>
          <w:tcPr>
            <w:tcW w:w="3265" w:type="dxa"/>
            <w:tcBorders>
              <w:bottom w:val="single" w:sz="4" w:space="0" w:color="auto"/>
            </w:tcBorders>
            <w:vAlign w:val="center"/>
            <w:hideMark/>
          </w:tcPr>
          <w:p w14:paraId="53CAA8AC"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α = 0.05.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Interpretación</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Ambos modelos son eficientes; la diferencia entre modelos no fue estadísticamente significativa.</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Aunque Swin-Tiny Transformer obtuvo una métrica global ligeramente mayor, la diferencia se interpreta como ventaja descriptiva y no como superioridad estadísticamente significativa.</w:t>
      </w:r>
    </w:p>
    <w:p>
      <w:pPr>
        <w:pStyle w:val="Ttulo1"/>
        <w:spacing w:before="120" w:after="120"/>
        <w:ind w:firstLine="0"/>
      </w:pPr>
      <w:r>
        <w:rPr>
          <w:rFonts w:ascii="Times New Roman" w:hAnsi="Times New Roman" w:eastAsia="Times New Roman"/>
          <w:b/>
          <w:i w:val="0"/>
        </w:rPr>
        <w:t>CAPÍTULO VI: RESULTADOS</w:t>
      </w:r>
    </w:p>
    <w:p>
      <w:pPr>
        <w:pStyle w:val="Ttulo2"/>
        <w:spacing w:before="120" w:after="120"/>
        <w:ind w:firstLine="0"/>
      </w:pPr>
      <w:r>
        <w:rPr>
          <w:rFonts w:ascii="Times New Roman" w:hAnsi="Times New Roman" w:eastAsia="Times New Roman"/>
          <w:b/>
          <w:i w:val="0"/>
        </w:rPr>
        <w:t>6.1. Criterio de análisis y contrastación</w:t>
      </w:r>
    </w:p>
    <w:p>
      <w:pPr>
        <w:spacing w:line="360" w:lineRule="auto" w:after="0"/>
        <w:ind w:firstLine="709"/>
        <w:jc w:val="both"/>
      </w:pPr>
      <w:r>
        <w:rPr>
          <w:rFonts w:ascii="Times New Roman" w:hAnsi="Times New Roman" w:eastAsia="Times New Roman"/>
          <w:b w:val="0"/>
          <w:i w:val="0"/>
          <w:sz w:val="24"/>
        </w:rPr>
        <w:t>Los resultados se interpretaron con un criterio estadístico de eficiencia. Se consideró que un modelo presenta desempeño eficiente cuando el promedio de F1-score por clase es igual o superior a μ₀ = 0.75. Este valor funciona como punto de referencia mínimo para diferenciar un desempeño insuficiente de un desempeño eficiente en la identificación visual de variedades de papas nativas.</w:t>
      </w:r>
    </w:p>
    <w:p>
      <w:pPr>
        <w:spacing w:line="360" w:lineRule="auto" w:after="0"/>
        <w:ind w:firstLine="709"/>
        <w:jc w:val="both"/>
      </w:pPr>
      <w:r>
        <w:rPr>
          <w:rFonts w:ascii="Times New Roman" w:hAnsi="Times New Roman" w:eastAsia="Times New Roman"/>
          <w:b w:val="0"/>
          <w:i w:val="0"/>
          <w:sz w:val="24"/>
        </w:rPr>
        <w:t>La contrastación de hipótesis se realizó con un nivel de significancia α = 0.05. Para la hipótesis general y las hipótesis específicas 1 y 2 se aplicó la prueba t de Student para una muestra. Para la hipótesis específica 3 se aplicó una prueba t pareada sobre el F1-score por clase de ambos modelos.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011876"/>
            <wp:docPr id="2133673825" name="Picture 2133673825"/>
            <wp:cNvGraphicFramePr>
              <a:graphicFrameLocks noChangeAspect="1"/>
            </wp:cNvGraphicFramePr>
            <a:graphic>
              <a:graphicData uri="http://schemas.openxmlformats.org/drawingml/2006/picture">
                <pic:pic>
                  <pic:nvPicPr>
                    <pic:cNvPr id="0" name="formulas_contrastacion_hipotesis.png"/>
                    <pic:cNvPicPr/>
                  </pic:nvPicPr>
                  <pic:blipFill>
                    <a:blip r:embed="rId72"/>
                    <a:stretch>
                      <a:fillRect/>
                    </a:stretch>
                  </pic:blipFill>
                  <pic:spPr>
                    <a:xfrm>
                      <a:off x="0" y="0"/>
                      <a:ext cx="5212080" cy="2011876"/>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x̄ representa el promedio observado, μ₀ el valor mínimo esperado, s la desviación estándar muestral, n el número de valores analizados por clase, Dᵢ la diferencia pareada por clase y α el nivel de significancia.</w:t>
      </w:r>
    </w:p>
    <w:p>
      <w:pPr>
        <w:pStyle w:val="Ttulo2"/>
        <w:spacing w:before="120" w:after="120"/>
        <w:ind w:firstLine="0"/>
      </w:pPr>
      <w:r>
        <w:rPr>
          <w:rFonts w:ascii="Times New Roman" w:hAnsi="Times New Roman" w:eastAsia="Times New Roman"/>
          <w:b/>
          <w:i w:val="0"/>
        </w:rPr>
        <w:t>6.2. Resultado de la hipótesis general</w:t>
      </w:r>
    </w:p>
    <w:p>
      <w:pPr>
        <w:spacing w:line="360" w:lineRule="auto" w:after="0"/>
        <w:ind w:firstLine="709"/>
        <w:jc w:val="both"/>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Para contrastarla, se integraron los valores de F1-score por clase de CNN/EfficientNetB0 y Swin-Tiny Transformer. El promedio global fue 0.9947, superior al valor de referencia μ₀ = 0.75. La prueba t de Student para una muestra arrojó t(13) = 222.76 y p &lt; 0.001. En consecuencia, se rechaza H0G y se acepta la hipótesis general de investigación.</w:t>
      </w:r>
    </w:p>
    <w:p>
      <w:pPr>
        <w:pStyle w:val="Ttulo2"/>
        <w:spacing w:before="120" w:after="120"/>
        <w:ind w:firstLine="0"/>
      </w:pPr>
      <w:r>
        <w:rPr>
          <w:rFonts w:ascii="Times New Roman" w:hAnsi="Times New Roman" w:eastAsia="Times New Roman"/>
          <w:b/>
          <w:i w:val="0"/>
        </w:rPr>
        <w:t>6.3. Resultado de la hipótesis específica 1</w:t>
      </w:r>
    </w:p>
    <w:p>
      <w:pPr>
        <w:spacing w:line="360" w:lineRule="auto" w:after="0"/>
        <w:ind w:firstLine="709"/>
        <w:jc w:val="both"/>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y F1-score macro de 0.9933. Al contrastar el F1-score por clase contra μ₀ = 0.75, se obtuvo t(6) = 192.18 y p &lt; 0.001. Por tanto, se rechaza H01 y se acepta HE1.</w:t>
      </w:r>
    </w:p>
    <w:p>
      <w:pPr>
        <w:pStyle w:val="Ttulo2"/>
        <w:spacing w:before="120" w:after="120"/>
        <w:ind w:firstLine="0"/>
      </w:pPr>
      <w:r>
        <w:rPr>
          <w:rFonts w:ascii="Times New Roman" w:hAnsi="Times New Roman" w:eastAsia="Times New Roman"/>
          <w:b/>
          <w:i w:val="0"/>
        </w:rPr>
        <w:t>6.4. Resultado de la hipótesis específica 2</w:t>
      </w:r>
    </w:p>
    <w:p>
      <w:pPr>
        <w:spacing w:line="360" w:lineRule="auto" w:after="0"/>
        <w:ind w:firstLine="709"/>
        <w:jc w:val="both"/>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y F1-score macro de 0.9962. Al contrastar el F1-score por clase contra μ₀ = 0.75, se obtuvo t(6) = 143.24 y p &lt; 0.001. Por tanto, se rechaza H02 y se acepta HE2.</w:t>
      </w:r>
    </w:p>
    <w:p>
      <w:pPr>
        <w:pStyle w:val="Ttulo2"/>
        <w:spacing w:before="120" w:after="120"/>
        <w:ind w:firstLine="0"/>
      </w:pPr>
      <w:r>
        <w:rPr>
          <w:rFonts w:ascii="Times New Roman" w:hAnsi="Times New Roman" w:eastAsia="Times New Roman"/>
          <w:b/>
          <w:i w:val="0"/>
        </w:rPr>
        <w:t>6.5. Resultado de la hipótesis específica 3</w:t>
      </w:r>
    </w:p>
    <w:p>
      <w:pPr>
        <w:spacing w:line="360" w:lineRule="auto" w:after="0"/>
        <w:ind w:firstLine="709"/>
        <w:jc w:val="both"/>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favoreció a Swin-Tiny Transformer, con una diferencia de +0.0029 en accuracy global y tres aciertos adicionales en el conjunto de prueba. Sin embargo, la prueba t pareada aplicada al F1-score por clase arrojó t(6) = 1.67 y p = 0.145. Dado que p &gt; 0.05, no se rechaza H03. Por tanto, la diferencia observada se interpreta como ventaja descriptiva, no como diferencia estadísticamente significativa.</w:t>
      </w:r>
    </w:p>
    <w:p>
      <w:pPr>
        <w:pStyle w:val="Ttulo2"/>
        <w:spacing w:before="120" w:after="120"/>
        <w:ind w:firstLine="0"/>
      </w:pPr>
      <w:r>
        <w:rPr>
          <w:rFonts w:ascii="Times New Roman" w:hAnsi="Times New Roman" w:eastAsia="Times New Roman"/>
          <w:b/>
          <w:i w:val="0"/>
        </w:rPr>
        <w:t>6.6. Síntesis estadística de resultados</w:t>
      </w:r>
    </w:p>
    <w:p>
      <w:pPr>
        <w:spacing w:line="360" w:lineRule="auto" w:after="0"/>
        <w:ind w:firstLine="709"/>
        <w:jc w:val="both"/>
      </w:pPr>
      <w:r>
        <w:rPr>
          <w:rFonts w:ascii="Times New Roman" w:hAnsi="Times New Roman" w:eastAsia="Times New Roman"/>
          <w:b w:val="0"/>
          <w:i w:val="0"/>
          <w:sz w:val="24"/>
        </w:rPr>
        <w:t>El análisis estadístico confirma que CNN/EfficientNetB0 y Swin-Tiny Transformer superan ampliamente el umbral de eficiencia definido para la investigación. La evidencia más sólida corresponde a las hipótesis de eficiencia, porque ambos modelos obtuvieron F1-score macro superior a 0.99 y valores p menores a 0.001. En la comparación entre modelos, Swin-Tiny Transformer presentó una ventaja numérica; sin embargo, dicha ventaja no alcanzó significancia estadística al nivel α = 0.05.</w:t>
      </w:r>
    </w:p>
    <w:p>
      <w:pPr>
        <w:pStyle w:val="Descripcin"/>
        <w:spacing w:line="360" w:lineRule="auto" w:after="0"/>
        <w:ind w:firstLine="0"/>
        <w:jc w:val="both"/>
      </w:pPr>
      <w:r>
        <w:rPr>
          <w:rFonts w:ascii="Times New Roman" w:hAnsi="Times New Roman" w:eastAsia="Times New Roman"/>
          <w:b w:val="0"/>
          <w:i w:val="0"/>
          <w:sz w:val="24"/>
        </w:rPr>
        <w:t>Tabla 18 Contrastación estadística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76" w:lineRule="auto" w:after="0"/>
              <w:jc w:val="center"/>
            </w:pPr>
            <w:r>
              <w:rPr>
                <w:rFonts w:ascii="Times New Roman" w:hAnsi="Times New Roman" w:eastAsia="Times New Roman"/>
                <w:b/>
                <w:sz w:val="24"/>
              </w:rPr>
              <w:t>Hipótesis</w:t>
            </w:r>
          </w:p>
        </w:tc>
        <w:tc>
          <w:tcPr>
            <w:tcW w:type="dxa" w:w="2340"/>
            <w:vAlign w:val="center"/>
          </w:tcPr>
          <w:p>
            <w:pPr>
              <w:spacing w:line="276" w:lineRule="auto" w:after="0"/>
              <w:jc w:val="center"/>
            </w:pPr>
            <w:r>
              <w:rPr>
                <w:rFonts w:ascii="Times New Roman" w:hAnsi="Times New Roman" w:eastAsia="Times New Roman"/>
                <w:b/>
                <w:sz w:val="24"/>
              </w:rPr>
              <w:t>Estadístico de prueba</w:t>
            </w:r>
          </w:p>
        </w:tc>
        <w:tc>
          <w:tcPr>
            <w:tcW w:type="dxa" w:w="2340"/>
            <w:vAlign w:val="center"/>
          </w:tcPr>
          <w:p>
            <w:pPr>
              <w:spacing w:line="276" w:lineRule="auto" w:after="0"/>
              <w:jc w:val="center"/>
            </w:pPr>
            <w:r>
              <w:rPr>
                <w:rFonts w:ascii="Times New Roman" w:hAnsi="Times New Roman" w:eastAsia="Times New Roman"/>
                <w:b/>
                <w:sz w:val="24"/>
              </w:rPr>
              <w:t>Valor p</w:t>
            </w:r>
          </w:p>
        </w:tc>
        <w:tc>
          <w:tcPr>
            <w:tcW w:type="dxa" w:w="2340"/>
            <w:vAlign w:val="center"/>
          </w:tcPr>
          <w:p>
            <w:pPr>
              <w:spacing w:line="276" w:lineRule="auto" w:after="0"/>
              <w:jc w:val="center"/>
            </w:pPr>
            <w:r>
              <w:rPr>
                <w:rFonts w:ascii="Times New Roman" w:hAnsi="Times New Roman" w:eastAsia="Times New Roman"/>
                <w:b/>
                <w:sz w:val="24"/>
              </w:rPr>
              <w:t>Decisión</w:t>
            </w:r>
          </w:p>
        </w:tc>
      </w:tr>
      <w:tr>
        <w:tc>
          <w:tcPr>
            <w:tcW w:type="dxa" w:w="2340"/>
            <w:vAlign w:val="center"/>
          </w:tcPr>
          <w:p>
            <w:pPr>
              <w:spacing w:line="276" w:lineRule="auto" w:after="0"/>
              <w:jc w:val="both"/>
            </w:pPr>
            <w:r>
              <w:rPr>
                <w:rFonts w:ascii="Times New Roman" w:hAnsi="Times New Roman" w:eastAsia="Times New Roman"/>
                <w:b w:val="0"/>
                <w:sz w:val="24"/>
              </w:rPr>
              <w:t>HG</w:t>
            </w:r>
          </w:p>
        </w:tc>
        <w:tc>
          <w:tcPr>
            <w:tcW w:type="dxa" w:w="2340"/>
            <w:vAlign w:val="center"/>
          </w:tcPr>
          <w:p>
            <w:pPr>
              <w:spacing w:line="276" w:lineRule="auto" w:after="0"/>
              <w:jc w:val="both"/>
            </w:pPr>
            <w:r>
              <w:rPr>
                <w:rFonts w:ascii="Times New Roman" w:hAnsi="Times New Roman" w:eastAsia="Times New Roman"/>
                <w:b w:val="0"/>
                <w:sz w:val="24"/>
              </w:rPr>
              <w:t>t(13) = 222.76</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H0G; se acepta HG.</w:t>
            </w:r>
          </w:p>
        </w:tc>
      </w:tr>
      <w:tr>
        <w:tc>
          <w:tcPr>
            <w:tcW w:type="dxa" w:w="2340"/>
            <w:vAlign w:val="center"/>
          </w:tcPr>
          <w:p>
            <w:pPr>
              <w:spacing w:line="276" w:lineRule="auto" w:after="0"/>
              <w:jc w:val="both"/>
            </w:pPr>
            <w:r>
              <w:rPr>
                <w:rFonts w:ascii="Times New Roman" w:hAnsi="Times New Roman" w:eastAsia="Times New Roman"/>
                <w:b w:val="0"/>
                <w:sz w:val="24"/>
              </w:rPr>
              <w:t>HE1</w:t>
            </w:r>
          </w:p>
        </w:tc>
        <w:tc>
          <w:tcPr>
            <w:tcW w:type="dxa" w:w="2340"/>
            <w:vAlign w:val="center"/>
          </w:tcPr>
          <w:p>
            <w:pPr>
              <w:spacing w:line="276" w:lineRule="auto" w:after="0"/>
              <w:jc w:val="both"/>
            </w:pPr>
            <w:r>
              <w:rPr>
                <w:rFonts w:ascii="Times New Roman" w:hAnsi="Times New Roman" w:eastAsia="Times New Roman"/>
                <w:b w:val="0"/>
                <w:sz w:val="24"/>
              </w:rPr>
              <w:t>t(6) = 192.18</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H01; se acepta HE1.</w:t>
            </w:r>
          </w:p>
        </w:tc>
      </w:tr>
      <w:tr>
        <w:tc>
          <w:tcPr>
            <w:tcW w:type="dxa" w:w="2340"/>
            <w:vAlign w:val="center"/>
          </w:tcPr>
          <w:p>
            <w:pPr>
              <w:spacing w:line="276" w:lineRule="auto" w:after="0"/>
              <w:jc w:val="both"/>
            </w:pPr>
            <w:r>
              <w:rPr>
                <w:rFonts w:ascii="Times New Roman" w:hAnsi="Times New Roman" w:eastAsia="Times New Roman"/>
                <w:b w:val="0"/>
                <w:sz w:val="24"/>
              </w:rPr>
              <w:t>HE2</w:t>
            </w:r>
          </w:p>
        </w:tc>
        <w:tc>
          <w:tcPr>
            <w:tcW w:type="dxa" w:w="2340"/>
            <w:vAlign w:val="center"/>
          </w:tcPr>
          <w:p>
            <w:pPr>
              <w:spacing w:line="276" w:lineRule="auto" w:after="0"/>
              <w:jc w:val="both"/>
            </w:pPr>
            <w:r>
              <w:rPr>
                <w:rFonts w:ascii="Times New Roman" w:hAnsi="Times New Roman" w:eastAsia="Times New Roman"/>
                <w:b w:val="0"/>
                <w:sz w:val="24"/>
              </w:rPr>
              <w:t>t(6) = 143.24</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H02; se acepta HE2.</w:t>
            </w:r>
          </w:p>
        </w:tc>
      </w:tr>
      <w:tr>
        <w:tc>
          <w:tcPr>
            <w:tcW w:type="dxa" w:w="2340"/>
            <w:vAlign w:val="center"/>
          </w:tcPr>
          <w:p>
            <w:pPr>
              <w:spacing w:line="276" w:lineRule="auto" w:after="0"/>
              <w:jc w:val="both"/>
            </w:pPr>
            <w:r>
              <w:rPr>
                <w:rFonts w:ascii="Times New Roman" w:hAnsi="Times New Roman" w:eastAsia="Times New Roman"/>
                <w:b w:val="0"/>
                <w:sz w:val="24"/>
              </w:rPr>
              <w:t>HE3</w:t>
            </w:r>
          </w:p>
        </w:tc>
        <w:tc>
          <w:tcPr>
            <w:tcW w:type="dxa" w:w="2340"/>
            <w:vAlign w:val="center"/>
          </w:tcPr>
          <w:p>
            <w:pPr>
              <w:spacing w:line="276" w:lineRule="auto" w:after="0"/>
              <w:jc w:val="both"/>
            </w:pPr>
            <w:r>
              <w:rPr>
                <w:rFonts w:ascii="Times New Roman" w:hAnsi="Times New Roman" w:eastAsia="Times New Roman"/>
                <w:b w:val="0"/>
                <w:sz w:val="24"/>
              </w:rPr>
              <w:t>t(6) = 1.67</w:t>
            </w:r>
          </w:p>
        </w:tc>
        <w:tc>
          <w:tcPr>
            <w:tcW w:type="dxa" w:w="2340"/>
            <w:vAlign w:val="center"/>
          </w:tcPr>
          <w:p>
            <w:pPr>
              <w:spacing w:line="276" w:lineRule="auto" w:after="0"/>
              <w:jc w:val="both"/>
            </w:pPr>
            <w:r>
              <w:rPr>
                <w:rFonts w:ascii="Times New Roman" w:hAnsi="Times New Roman" w:eastAsia="Times New Roman"/>
                <w:b w:val="0"/>
                <w:sz w:val="24"/>
              </w:rPr>
              <w:t>p = 0.145</w:t>
            </w:r>
          </w:p>
        </w:tc>
        <w:tc>
          <w:tcPr>
            <w:tcW w:type="dxa" w:w="2340"/>
            <w:vAlign w:val="center"/>
          </w:tcPr>
          <w:p>
            <w:pPr>
              <w:spacing w:line="276" w:lineRule="auto" w:after="0"/>
              <w:jc w:val="both"/>
            </w:pPr>
            <w:r>
              <w:rPr>
                <w:rFonts w:ascii="Times New Roman" w:hAnsi="Times New Roman" w:eastAsia="Times New Roman"/>
                <w:b w:val="0"/>
                <w:sz w:val="24"/>
              </w:rPr>
              <w:t>No se rechaza H03; no hay diferencia significativa.</w:t>
            </w:r>
          </w:p>
        </w:tc>
      </w:tr>
    </w:tbl>
    <w:p>
      <w:pPr>
        <w:spacing w:line="360" w:lineRule="auto" w:after="0"/>
        <w:ind w:firstLine="709"/>
        <w:jc w:val="both"/>
      </w:pPr>
      <w:r>
        <w:rPr>
          <w:rFonts w:ascii="Times New Roman" w:hAnsi="Times New Roman" w:eastAsia="Times New Roman"/>
          <w:b w:val="0"/>
          <w:i w:val="0"/>
          <w:sz w:val="24"/>
        </w:rPr>
        <w:t>Nota. Elaboración propia a partir de las métricas verificadas en los notebooks de entrenamiento y evaluación. Los valores p fueron calculados con F1-score por clase como unidad de contraste.</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estadístico definido para la investigación, según el cual un F1-score promedio por clase igual o superior a 0.75 evidencia desempeño eficiente.</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360" w:lineRule="auto" w:after="0"/>
        <w:ind w:firstLine="0"/>
        <w:jc w:val="both"/>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360" w:lineRule="auto"/>
        <w:ind w:firstLine="0"/>
        <w:jc w:val="both"/>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firstLine="0"/>
        <w:jc w:val="both"/>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firstLine="0"/>
        <w:jc w:val="both"/>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