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materna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2C6EA8"/>
          <w:sz w:val="80"/>
        </w:rPr>
        <w:t>VITMATERNA</w:t>
      </w:r>
    </w:p>
    <w:p>
      <w:pPr>
        <w:jc w:val="center"/>
      </w:pPr>
      <w:r>
        <w:rPr>
          <w:b w:val="0"/>
          <w:color w:val="16242B"/>
          <w:sz w:val="40"/>
        </w:rPr>
        <w:t>Manual de Usuario · Aplicación Móvil</w:t>
      </w:r>
    </w:p>
    <w:p>
      <w:pPr>
        <w:jc w:val="center"/>
      </w:pPr>
      <w:r>
        <w:rPr>
          <w:b w:val="0"/>
          <w:color w:val="566873"/>
          <w:sz w:val="32"/>
        </w:rPr>
        <w:t>Guía para la Obstetra</w:t>
      </w:r>
    </w:p>
    <w:p/>
    <w:p/>
    <w:p/>
    <w:p/>
    <w:p/>
    <w:p>
      <w:pPr>
        <w:jc w:val="center"/>
      </w:pPr>
      <w:r>
        <w:rPr>
          <w:color w:val="16242B"/>
          <w:sz w:val="26"/>
        </w:rPr>
        <w:t>Plataforma de Salud Prenatal</w:t>
      </w:r>
    </w:p>
    <w:p>
      <w:pPr>
        <w:jc w:val="center"/>
      </w:pPr>
      <w:r>
        <w:rPr>
          <w:color w:val="566873"/>
          <w:sz w:val="24"/>
        </w:rPr>
        <w:t>Centro de Salud Talavera — Andahuaylas, Apurímac</w:t>
      </w:r>
    </w:p>
    <w:p>
      <w:pPr>
        <w:jc w:val="center"/>
      </w:pPr>
      <w:r>
        <w:rPr>
          <w:color w:val="566873"/>
          <w:sz w:val="22"/>
        </w:rPr>
        <w:t>Versión 1.0 · 2026</w:t>
      </w:r>
    </w:p>
    <w:p>
      <w:pPr>
        <w:jc w:val="center"/>
      </w:pPr>
      <w:r>
        <w:rPr>
          <w:color w:val="566873"/>
          <w:sz w:val="22"/>
        </w:rPr>
        <w:t xml:space="preserve">Autor: </w:t>
      </w:r>
      <w:r>
        <w:rPr>
          <w:b/>
          <w:color w:val="16242B"/>
          <w:sz w:val="22"/>
        </w:rPr>
        <w:t>CRISTHIAN RODRIGO BERROCAL SALAZAR</w:t>
      </w:r>
    </w:p>
    <w:p>
      <w:r>
        <w:br w:type="page"/>
      </w:r>
    </w:p>
    <w:p>
      <w:bookmarkStart w:id="1000" w:name="bm_Cr_ditos_y_confidencialidad"/>
      <w:pPr>
        <w:pStyle w:val="Heading1"/>
        <w:pBdr>
          <w:bottom w:val="single" w:sz="8" w:space="4" w:color="2C6EA8"/>
        </w:pBdr>
      </w:pPr>
      <w:r>
        <w:t>Créditos y confidencialidad</w:t>
      </w:r>
      <w:bookmarkEnd w:id="1000"/>
    </w:p>
    <w:p>
      <w:pPr>
        <w:jc w:val="both"/>
      </w:pPr>
      <w:r>
        <w:rPr>
          <w:b/>
        </w:rPr>
        <w:t xml:space="preserve">Autor del manual: </w:t>
      </w:r>
      <w:r>
        <w:t>CRISTHIAN RODRIGO BERROCAL SALAZAR</w:t>
      </w:r>
    </w:p>
    <w:p>
      <w:pPr>
        <w:jc w:val="both"/>
      </w:pPr>
      <w:r>
        <w:rPr>
          <w:sz w:val="22"/>
        </w:rPr>
        <w:t>Este documento es el manual de usuario oficial de la aplicación móvil VITMATERNA, plataforma de seguimiento de salud prenatal. Se entrega con fines de capacitación y uso del sistema.</w:t>
      </w:r>
    </w:p>
    <w:p>
      <w:pPr>
        <w:jc w:val="both"/>
      </w:pPr>
      <w:r>
        <w:rPr>
          <w:sz w:val="22"/>
        </w:rPr>
        <w:t>La información que aparece en las capturas corresponde a datos de demostración y no representa a personas reales. El manejo de datos de salud se realiza conforme a la normativa de protección de datos personales vigente.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2C6EA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>Este documento está diseñado como guía de consulta; se recomienda utilizar el índice para acceder directamente a la sección deseada.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1001" w:name="bm__ndice_de_contenidos"/>
      <w:pPr>
        <w:pStyle w:val="Heading1"/>
        <w:pBdr>
          <w:bottom w:val="single" w:sz="8" w:space="4" w:color="2C6EA8"/>
        </w:pBdr>
      </w:pPr>
      <w:r>
        <w:t>Índice de contenidos</w:t>
      </w:r>
      <w:bookmarkEnd w:id="1001"/>
    </w:p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Cr_ditos_y_confidencialidad">
              <w:r>
                <w:rPr>
                  <w:rFonts w:ascii="Carlito" w:hAnsi="Carlito"/>
                  <w:sz w:val="22"/>
                  <w:b/>
                  <w:color w:val="2C6EA8"/>
                </w:rPr>
                <w:t xml:space="preserve">Créditos y confidencialidad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Cr_ditos_y_confidencialidad">
              <w:r>
                <w:rPr>
                  <w:rFonts w:ascii="Carlito" w:hAnsi="Carlito"/>
                  <w:sz w:val="20"/>
                  <w:color w:val="16242B"/>
                </w:rPr>
                <w:t xml:space="preserve">2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_ndice_de_contenidos">
              <w:r>
                <w:rPr>
                  <w:rFonts w:ascii="Carlito" w:hAnsi="Carlito"/>
                  <w:sz w:val="22"/>
                  <w:b/>
                  <w:color w:val="2C6EA8"/>
                </w:rPr>
                <w:t xml:space="preserve">Índice de contenidos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_ndice_de_contenidos">
              <w:r>
                <w:rPr>
                  <w:rFonts w:ascii="Carlito" w:hAnsi="Carlito"/>
                  <w:sz w:val="20"/>
                  <w:color w:val="16242B"/>
                </w:rPr>
                <w:t xml:space="preserve">3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1__Introducci_n">
              <w:r>
                <w:rPr>
                  <w:rFonts w:ascii="Carlito" w:hAnsi="Carlito"/>
                  <w:sz w:val="22"/>
                  <w:b/>
                  <w:color w:val="2C6EA8"/>
                </w:rPr>
                <w:t xml:space="preserve">1. Introducción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1__Introducci_n">
              <w:r>
                <w:rPr>
                  <w:rFonts w:ascii="Carlito" w:hAnsi="Carlito"/>
                  <w:sz w:val="20"/>
                  <w:color w:val="16242B"/>
                </w:rPr>
                <w:t xml:space="preserve">4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2__Antes_de_empezar">
              <w:r>
                <w:rPr>
                  <w:rFonts w:ascii="Carlito" w:hAnsi="Carlito"/>
                  <w:sz w:val="22"/>
                  <w:b/>
                  <w:color w:val="2C6EA8"/>
                </w:rPr>
                <w:t xml:space="preserve">2. Antes de empezar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2__Antes_de_empezar">
              <w:r>
                <w:rPr>
                  <w:rFonts w:ascii="Carlito" w:hAnsi="Carlito"/>
                  <w:sz w:val="20"/>
                  <w:color w:val="16242B"/>
                </w:rPr>
                <w:t xml:space="preserve">4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3__Acceso_al_sistema">
              <w:r>
                <w:rPr>
                  <w:rFonts w:ascii="Carlito" w:hAnsi="Carlito"/>
                  <w:sz w:val="22"/>
                  <w:b/>
                  <w:color w:val="2C6EA8"/>
                </w:rPr>
                <w:t xml:space="preserve">3. Acceso al sistema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3__Acceso_al_sistema">
              <w:r>
                <w:rPr>
                  <w:rFonts w:ascii="Carlito" w:hAnsi="Carlito"/>
                  <w:sz w:val="20"/>
                  <w:color w:val="16242B"/>
                </w:rPr>
                <w:t xml:space="preserve">5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4__Panel_de_inicio">
              <w:r>
                <w:rPr>
                  <w:rFonts w:ascii="Carlito" w:hAnsi="Carlito"/>
                  <w:sz w:val="20"/>
                  <w:color w:val="16242B"/>
                </w:rPr>
                <w:t xml:space="preserve">        4. Panel de inicio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4__Panel_de_inicio">
              <w:r>
                <w:rPr>
                  <w:rFonts w:ascii="Carlito" w:hAnsi="Carlito"/>
                  <w:sz w:val="20"/>
                  <w:color w:val="16242B"/>
                </w:rPr>
                <w:t xml:space="preserve">5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4_1_Citas_de_hoy">
              <w:r>
                <w:rPr>
                  <w:rFonts w:ascii="Carlito" w:hAnsi="Carlito"/>
                  <w:sz w:val="20"/>
                  <w:color w:val="16242B"/>
                </w:rPr>
                <w:t xml:space="preserve">        4.1 Citas de hoy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4_1_Citas_de_hoy">
              <w:r>
                <w:rPr>
                  <w:rFonts w:ascii="Carlito" w:hAnsi="Carlito"/>
                  <w:sz w:val="20"/>
                  <w:color w:val="16242B"/>
                </w:rPr>
                <w:t xml:space="preserve">6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5__Gestantes">
              <w:r>
                <w:rPr>
                  <w:rFonts w:ascii="Carlito" w:hAnsi="Carlito"/>
                  <w:sz w:val="20"/>
                  <w:color w:val="16242B"/>
                </w:rPr>
                <w:t xml:space="preserve">        5. Gestantes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5__Gestantes">
              <w:r>
                <w:rPr>
                  <w:rFonts w:ascii="Carlito" w:hAnsi="Carlito"/>
                  <w:sz w:val="20"/>
                  <w:color w:val="16242B"/>
                </w:rPr>
                <w:t xml:space="preserve">7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5_1_Registrar_una_nueva_gestante">
              <w:r>
                <w:rPr>
                  <w:rFonts w:ascii="Carlito" w:hAnsi="Carlito"/>
                  <w:sz w:val="20"/>
                  <w:color w:val="16242B"/>
                </w:rPr>
                <w:t xml:space="preserve">        5.1 Registrar una nueva gestante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5_1_Registrar_una_nueva_gestante">
              <w:r>
                <w:rPr>
                  <w:rFonts w:ascii="Carlito" w:hAnsi="Carlito"/>
                  <w:sz w:val="20"/>
                  <w:color w:val="16242B"/>
                </w:rPr>
                <w:t xml:space="preserve">8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6__Agenda_de_citas">
              <w:r>
                <w:rPr>
                  <w:rFonts w:ascii="Carlito" w:hAnsi="Carlito"/>
                  <w:sz w:val="20"/>
                  <w:color w:val="16242B"/>
                </w:rPr>
                <w:t xml:space="preserve">        6. Agenda de citas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6__Agenda_de_citas">
              <w:r>
                <w:rPr>
                  <w:rFonts w:ascii="Carlito" w:hAnsi="Carlito"/>
                  <w:sz w:val="20"/>
                  <w:color w:val="16242B"/>
                </w:rPr>
                <w:t xml:space="preserve">9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7__Reportes_e_indicadores">
              <w:r>
                <w:rPr>
                  <w:rFonts w:ascii="Carlito" w:hAnsi="Carlito"/>
                  <w:sz w:val="20"/>
                  <w:color w:val="16242B"/>
                </w:rPr>
                <w:t xml:space="preserve">        7. Reportes e indicadores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7__Reportes_e_indicadores">
              <w:r>
                <w:rPr>
                  <w:rFonts w:ascii="Carlito" w:hAnsi="Carlito"/>
                  <w:sz w:val="20"/>
                  <w:color w:val="16242B"/>
                </w:rPr>
                <w:t xml:space="preserve">10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7_1_Exportar_reportes">
              <w:r>
                <w:rPr>
                  <w:rFonts w:ascii="Carlito" w:hAnsi="Carlito"/>
                  <w:sz w:val="20"/>
                  <w:color w:val="16242B"/>
                </w:rPr>
                <w:t xml:space="preserve">        7.1 Exportar reportes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7_1_Exportar_reportes">
              <w:r>
                <w:rPr>
                  <w:rFonts w:ascii="Carlito" w:hAnsi="Carlito"/>
                  <w:sz w:val="20"/>
                  <w:color w:val="16242B"/>
                </w:rPr>
                <w:t xml:space="preserve">11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8__Chat_con_gestantes">
              <w:r>
                <w:rPr>
                  <w:rFonts w:ascii="Carlito" w:hAnsi="Carlito"/>
                  <w:sz w:val="20"/>
                  <w:color w:val="16242B"/>
                </w:rPr>
                <w:t xml:space="preserve">        8. Chat con gestantes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8__Chat_con_gestantes">
              <w:r>
                <w:rPr>
                  <w:rFonts w:ascii="Carlito" w:hAnsi="Carlito"/>
                  <w:sz w:val="20"/>
                  <w:color w:val="16242B"/>
                </w:rPr>
                <w:t xml:space="preserve">12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9__Mi_perfil">
              <w:r>
                <w:rPr>
                  <w:rFonts w:ascii="Carlito" w:hAnsi="Carlito"/>
                  <w:sz w:val="20"/>
                  <w:color w:val="16242B"/>
                </w:rPr>
                <w:t xml:space="preserve">        9. Mi perfil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9__Mi_perfil">
              <w:r>
                <w:rPr>
                  <w:rFonts w:ascii="Carlito" w:hAnsi="Carlito"/>
                  <w:sz w:val="20"/>
                  <w:color w:val="16242B"/>
                </w:rPr>
                <w:t xml:space="preserve">13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Soluci_n_de_problemas">
              <w:r>
                <w:rPr>
                  <w:rFonts w:ascii="Carlito" w:hAnsi="Carlito"/>
                  <w:sz w:val="22"/>
                  <w:b/>
                  <w:color w:val="2C6EA8"/>
                </w:rPr>
                <w:t xml:space="preserve">Solución de problemas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Soluci_n_de_problemas">
              <w:r>
                <w:rPr>
                  <w:rFonts w:ascii="Carlito" w:hAnsi="Carlito"/>
                  <w:sz w:val="20"/>
                  <w:color w:val="16242B"/>
                </w:rPr>
                <w:t xml:space="preserve">14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Preguntas_frecuentes">
              <w:r>
                <w:rPr>
                  <w:rFonts w:ascii="Carlito" w:hAnsi="Carlito"/>
                  <w:sz w:val="22"/>
                  <w:b/>
                  <w:color w:val="2C6EA8"/>
                </w:rPr>
                <w:t xml:space="preserve">Preguntas frecuentes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Preguntas_frecuentes">
              <w:r>
                <w:rPr>
                  <w:rFonts w:ascii="Carlito" w:hAnsi="Carlito"/>
                  <w:sz w:val="20"/>
                  <w:color w:val="16242B"/>
                </w:rPr>
                <w:t xml:space="preserve">15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Glosario">
              <w:r>
                <w:rPr>
                  <w:rFonts w:ascii="Carlito" w:hAnsi="Carlito"/>
                  <w:sz w:val="22"/>
                  <w:b/>
                  <w:color w:val="2C6EA8"/>
                </w:rPr>
                <w:t xml:space="preserve">Glosario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Glosario">
              <w:r>
                <w:rPr>
                  <w:rFonts w:ascii="Carlito" w:hAnsi="Carlito"/>
                  <w:sz w:val="20"/>
                  <w:color w:val="16242B"/>
                </w:rPr>
                <w:t xml:space="preserve">15</w:t>
              </w:r>
            </w:hyperlink>
          </w:p>
        </w:tc>
      </w:tr>
      <w:tr>
        <w:tc>
          <w:tcPr>
            <w:tcW w:type="dxa" w:w="4873"/>
          </w:tcPr>
          <w:p>
            <w:pPr>
              <w:spacing w:after="60" w:line="288" w:lineRule="auto"/>
            </w:pPr>
            <w:hyperlink w:anchor="bm_Soporte_y_contacto">
              <w:r>
                <w:rPr>
                  <w:rFonts w:ascii="Carlito" w:hAnsi="Carlito"/>
                  <w:sz w:val="22"/>
                  <w:b/>
                  <w:color w:val="2C6EA8"/>
                </w:rPr>
                <w:t xml:space="preserve">Soporte y contacto</w:t>
              </w:r>
            </w:hyperlink>
          </w:p>
        </w:tc>
        <w:tc>
          <w:tcPr>
            <w:tcW w:type="dxa" w:w="4873"/>
          </w:tcPr>
          <w:p>
            <w:pPr>
              <w:jc w:val="right"/>
            </w:pPr>
            <w:hyperlink w:anchor="bm_Soporte_y_contacto">
              <w:r>
                <w:rPr>
                  <w:rFonts w:ascii="Carlito" w:hAnsi="Carlito"/>
                  <w:sz w:val="20"/>
                  <w:color w:val="16242B"/>
                </w:rPr>
                <w:t xml:space="preserve">15</w:t>
              </w:r>
            </w:hyperlink>
          </w:p>
        </w:tc>
      </w:tr>
    </w:tbl>
    <w:p>
      <w:r>
        <w:br w:type="page"/>
      </w:r>
    </w:p>
    <w:p>
      <w:bookmarkStart w:id="1002" w:name="bm_1__Introducci_n"/>
      <w:pPr>
        <w:pStyle w:val="Heading1"/>
        <w:pBdr>
          <w:bottom w:val="single" w:sz="8" w:space="4" w:color="2C6EA8"/>
        </w:pBdr>
      </w:pPr>
      <w:r>
        <w:t>1. Introducción</w:t>
      </w:r>
      <w:bookmarkEnd w:id="1002"/>
    </w:p>
    <w:p>
      <w:pPr>
        <w:pStyle w:val="Heading2"/>
      </w:pPr>
      <w:r>
        <w:t>1.1 ¿Qué es VITMATERNA?</w:t>
      </w:r>
    </w:p>
    <w:p>
      <w:pPr>
        <w:jc w:val="both"/>
      </w:pPr>
      <w:r>
        <w:rPr>
          <w:sz w:val="22"/>
        </w:rPr>
        <w:t>VITMATERNA es la plataforma con la que acompañas y haces seguimiento a tus gestantes: revisas tu panel del día, gestionas a tus pacientes y sus historias clínicas, organizas tu agenda de citas, consultas reportes e indicadores MINSA, y te comunicas por chat con tus gestantes.</w:t>
      </w:r>
    </w:p>
    <w:p>
      <w:pPr>
        <w:pStyle w:val="Heading2"/>
      </w:pPr>
      <w:r>
        <w:t>1.2 Propósito de este manual</w:t>
      </w:r>
    </w:p>
    <w:p>
      <w:pPr>
        <w:jc w:val="both"/>
      </w:pPr>
      <w:r>
        <w:rPr>
          <w:sz w:val="22"/>
        </w:rPr>
        <w:t>Este manual está dirigido al personal obstétrico y tiene como objetivo guiar el uso de la aplicación en la atención y el seguimiento prenatal, mediante instrucciones paso a paso acompañadas de capturas de pantalla.</w:t>
      </w:r>
    </w:p>
    <w:p>
      <w:pPr>
        <w:pStyle w:val="Heading2"/>
      </w:pPr>
      <w:r>
        <w:t>1.3 Contenido</w:t>
      </w:r>
    </w:p>
    <w:p>
      <w:pPr>
        <w:jc w:val="both"/>
      </w:pPr>
      <w:r>
        <w:rPr>
          <w:sz w:val="22"/>
        </w:rPr>
        <w:t>El documento abarca el panel de inicio, la gestión de gestantes y su ficha clínica, la agenda de citas, los reportes e indicadores, la comunicación por chat y la administración del perfil.</w:t>
      </w:r>
    </w:p>
    <w:p>
      <w:bookmarkStart w:id="1003" w:name="bm_2__Antes_de_empezar"/>
      <w:pPr>
        <w:pStyle w:val="Heading1"/>
        <w:pBdr>
          <w:bottom w:val="single" w:sz="8" w:space="4" w:color="2C6EA8"/>
        </w:pBdr>
      </w:pPr>
      <w:r>
        <w:t>2. Antes de empezar</w:t>
      </w:r>
      <w:bookmarkEnd w:id="1003"/>
    </w:p>
    <w:p>
      <w:pPr>
        <w:pStyle w:val="Heading2"/>
      </w:pPr>
      <w:r>
        <w:t>2.1 Requisitos</w:t>
      </w:r>
    </w:p>
    <w:p>
      <w:pPr>
        <w:jc w:val="both"/>
      </w:pPr>
      <w:r>
        <w:rPr>
          <w:sz w:val="22"/>
        </w:rPr>
        <w:t>Para utilizar la aplicación es necesario contar con:</w:t>
      </w:r>
    </w:p>
    <w:p>
      <w:pPr>
        <w:pStyle w:val="ListBullet"/>
        <w:spacing w:after="80" w:line="312" w:lineRule="auto"/>
      </w:pPr>
      <w:r>
        <w:rPr>
          <w:sz w:val="22"/>
        </w:rPr>
        <w:t>Un teléfono móvil con sistema operativo Android o iOS (iPhone).</w:t>
      </w:r>
    </w:p>
    <w:p>
      <w:pPr>
        <w:pStyle w:val="ListBullet"/>
        <w:spacing w:after="80" w:line="312" w:lineRule="auto"/>
      </w:pPr>
      <w:r>
        <w:rPr>
          <w:sz w:val="22"/>
        </w:rPr>
        <w:t>Conexión a internet (datos móviles o red wifi).</w:t>
      </w:r>
    </w:p>
    <w:p>
      <w:pPr>
        <w:pStyle w:val="ListBullet"/>
        <w:spacing w:after="80" w:line="312" w:lineRule="auto"/>
      </w:pPr>
      <w:r>
        <w:rPr>
          <w:sz w:val="22"/>
        </w:rPr>
        <w:t>Las credenciales de acceso: número de DNI y contraseña.</w:t>
      </w:r>
    </w:p>
    <w:p>
      <w:pPr>
        <w:pStyle w:val="Heading2"/>
      </w:pPr>
      <w:r>
        <w:t>2.2 Convenciones de este manual</w:t>
      </w:r>
    </w:p>
    <w:p>
      <w:pPr>
        <w:jc w:val="both"/>
      </w:pPr>
      <w:r>
        <w:rPr>
          <w:sz w:val="22"/>
        </w:rPr>
        <w:t>En las imágenes verás marcas numeradas y recuadros que indican exactamente de qué elemento se habla y en qué orden usarlo: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tcMar>
              <w:top w:w="60" w:type="dxa"/>
              <w:bottom w:w="60" w:type="dxa"/>
              <w:start w:w="120" w:type="dxa"/>
              <w:end w:w="120" w:type="dxa"/>
            </w:tcMar>
            <w:shd w:val="clear" w:fill="2C6EA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20" w:type="dxa"/>
              <w:end w:w="120" w:type="dxa"/>
            </w:tcMar>
            <w:shd w:val="clear" w:fill="2C6EA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6242B"/>
                <w:sz w:val="20"/>
              </w:rPr>
              <w:t>①  ②  ③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16242B"/>
                <w:sz w:val="20"/>
              </w:rPr>
              <w:t>Marca de paso: indica el orden en que debes tocar cada elemento.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6242B"/>
                <w:sz w:val="20"/>
              </w:rPr>
              <w:t>Recuadro de color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16242B"/>
                <w:sz w:val="20"/>
              </w:rPr>
              <w:t>Resalta el botón, la tarjeta o el campo que se explica.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6242B"/>
                <w:sz w:val="20"/>
              </w:rPr>
              <w:t>Nota / Importante / Atención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16242B"/>
                <w:sz w:val="20"/>
              </w:rPr>
              <w:t>Avisos con información útil o advertencias importantes.</w:t>
            </w:r>
          </w:p>
        </w:tc>
      </w:tr>
    </w:tbl>
    <w:p>
      <w:pPr>
        <w:spacing w:after="200"/>
      </w:pPr>
    </w:p>
    <w:p>
      <w:bookmarkStart w:id="1004" w:name="bm_3__Acceso_al_sistema"/>
      <w:pPr>
        <w:pStyle w:val="Heading1"/>
        <w:pBdr>
          <w:bottom w:val="single" w:sz="8" w:space="4" w:color="2C6EA8"/>
        </w:pBdr>
      </w:pPr>
      <w:r>
        <w:t>3. Acceso al sistema</w:t>
      </w:r>
      <w:bookmarkEnd w:id="1004"/>
    </w:p>
    <w:p>
      <w:pPr>
        <w:jc w:val="both"/>
      </w:pPr>
      <w:r>
        <w:rPr>
          <w:sz w:val="22"/>
        </w:rPr>
        <w:t>Al abrir la aplicación se muestra la pantalla de inicio de sesión. Ingresa tus credenciales para acceder a tu cuenta: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En el campo </w:t>
      </w:r>
      <w:r>
        <w:rPr>
          <w:b/>
          <w:sz w:val="22"/>
        </w:rPr>
        <w:t>“DNI”</w:t>
      </w:r>
      <w:r>
        <w:rPr>
          <w:sz w:val="22"/>
        </w:rPr>
        <w:t>, escribe tu número de documento.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En el campo </w:t>
      </w:r>
      <w:r>
        <w:rPr>
          <w:b/>
          <w:sz w:val="22"/>
        </w:rPr>
        <w:t>“Contraseña”</w:t>
      </w:r>
      <w:r>
        <w:rPr>
          <w:sz w:val="22"/>
        </w:rPr>
        <w:t>, escribe tu contraseña.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Toca el botón </w:t>
      </w:r>
      <w:r>
        <w:rPr>
          <w:b/>
          <w:sz w:val="22"/>
        </w:rPr>
        <w:t>“Iniciar Sesión”</w:t>
      </w:r>
      <w:r>
        <w:rPr>
          <w:sz w:val="22"/>
        </w:rPr>
        <w:t xml:space="preserve"> para ingresar.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B-1. Pantalla de inicio de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2C6EA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 xml:space="preserve">Durante el primer ingreso se mostrará el recorrido guiado </w:t>
            </w:r>
            <w:r>
              <w:rPr>
                <w:b/>
                <w:color w:val="16242B"/>
                <w:sz w:val="20"/>
              </w:rPr>
              <w:t>“Conoce tu app”</w:t>
            </w:r>
            <w:r>
              <w:rPr>
                <w:color w:val="16242B"/>
                <w:sz w:val="20"/>
              </w:rPr>
              <w:t>, que puede repetirse en cualquier momento desde el perfil.</w:t>
            </w:r>
          </w:p>
        </w:tc>
      </w:tr>
    </w:tbl>
    <w:p>
      <w:pPr>
        <w:spacing w:after="80"/>
      </w:pPr>
    </w:p>
    <w:p>
      <w:pPr>
        <w:spacing w:after="200"/>
      </w:pPr>
    </w:p>
    <w:p>
      <w:bookmarkStart w:id="1005" w:name="bm_4__Panel_de_inicio"/>
      <w:pPr>
        <w:pStyle w:val="Heading2"/>
      </w:pPr>
      <w:r>
        <w:t>4. Panel de inicio</w:t>
      </w:r>
      <w:bookmarkEnd w:id="1005"/>
    </w:p>
    <w:p>
      <w:pPr>
        <w:jc w:val="both"/>
      </w:pPr>
      <w:r>
        <w:rPr>
          <w:sz w:val="22"/>
        </w:rPr>
        <w:t>Es la primera pantalla al entrar. Resume tu jornada del día.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① Tarjetas con tus cifras del día: </w:t>
      </w:r>
      <w:r>
        <w:rPr>
          <w:b/>
          <w:sz w:val="22"/>
        </w:rPr>
        <w:t>“Citas hoy”</w:t>
      </w:r>
      <w:r>
        <w:rPr>
          <w:sz w:val="22"/>
        </w:rPr>
        <w:t xml:space="preserve">, </w:t>
      </w:r>
      <w:r>
        <w:rPr>
          <w:b/>
          <w:sz w:val="22"/>
        </w:rPr>
        <w:t>“Pacientes”</w:t>
      </w:r>
      <w:r>
        <w:rPr>
          <w:sz w:val="22"/>
        </w:rPr>
        <w:t xml:space="preserve"> y </w:t>
      </w:r>
      <w:r>
        <w:rPr>
          <w:b/>
          <w:sz w:val="22"/>
        </w:rPr>
        <w:t>“Alertas”</w:t>
      </w:r>
      <w:r>
        <w:rPr>
          <w:sz w:val="22"/>
        </w:rPr>
        <w:t>. Toca cada una para ir a ese módulo.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② </w:t>
      </w:r>
      <w:r>
        <w:rPr>
          <w:b/>
          <w:sz w:val="22"/>
        </w:rPr>
        <w:t>“Distribución de riesgo”</w:t>
      </w:r>
      <w:r>
        <w:rPr>
          <w:sz w:val="22"/>
        </w:rPr>
        <w:t>: el semáforo de tus gestantes (bajo, medio y alto).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B-2. Panel de inicio de la obstetra.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2C6EA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>Las cifras se actualizan automáticamente con la actividad de tus gestantes.</w:t>
            </w:r>
          </w:p>
        </w:tc>
      </w:tr>
    </w:tbl>
    <w:p>
      <w:pPr>
        <w:spacing w:after="80"/>
      </w:pPr>
    </w:p>
    <w:p>
      <w:bookmarkStart w:id="1006" w:name="bm_4_1_Citas_de_hoy"/>
      <w:pPr>
        <w:pStyle w:val="Heading2"/>
      </w:pPr>
      <w:r>
        <w:t>4.1 Citas de hoy</w:t>
      </w:r>
      <w:bookmarkEnd w:id="1006"/>
    </w:p>
    <w:p>
      <w:pPr>
        <w:jc w:val="both"/>
      </w:pPr>
      <w:r>
        <w:rPr>
          <w:sz w:val="22"/>
        </w:rPr>
        <w:t>Más abajo en el inicio verás el listado de tus citas del día.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① Toca una cita para abrir la ficha de esa gestante; </w:t>
      </w:r>
      <w:r>
        <w:rPr>
          <w:b/>
          <w:sz w:val="22"/>
        </w:rPr>
        <w:t>“Ver todas”</w:t>
      </w:r>
      <w:r>
        <w:rPr>
          <w:sz w:val="22"/>
        </w:rPr>
        <w:t xml:space="preserve"> abre la agenda completa.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B-3. Listado de citas de hoy en el inicio.</w:t>
      </w:r>
    </w:p>
    <w:p>
      <w:bookmarkStart w:id="1007" w:name="bm_5__Gestantes"/>
      <w:pPr>
        <w:pStyle w:val="Heading2"/>
      </w:pPr>
      <w:r>
        <w:t>5. Gestantes</w:t>
      </w:r>
      <w:bookmarkEnd w:id="1007"/>
    </w:p>
    <w:p>
      <w:pPr>
        <w:jc w:val="both"/>
      </w:pPr>
      <w:r>
        <w:rPr>
          <w:sz w:val="22"/>
        </w:rPr>
        <w:t>Aquí encuentras y administras a tus pacientes.</w:t>
      </w:r>
    </w:p>
    <w:p>
      <w:pPr>
        <w:pStyle w:val="ListNumber"/>
        <w:spacing w:after="120" w:line="312" w:lineRule="auto"/>
      </w:pPr>
      <w:r>
        <w:rPr>
          <w:sz w:val="22"/>
        </w:rPr>
        <w:t>① Buscador: escribe el nombre o DNI para encontrar a una gestante.</w:t>
      </w:r>
    </w:p>
    <w:p>
      <w:pPr>
        <w:pStyle w:val="ListNumber"/>
        <w:spacing w:after="120" w:line="312" w:lineRule="auto"/>
      </w:pPr>
      <w:r>
        <w:rPr>
          <w:sz w:val="22"/>
        </w:rPr>
        <w:t>② Filtros de riesgo (Todas, Sin riesgo, Moderado, Alto) para priorizar a quién atender.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B-4. Lista de gestantes.</w:t>
      </w:r>
    </w:p>
    <w:p>
      <w:bookmarkStart w:id="1008" w:name="bm_5_1_Registrar_una_nueva_gestante"/>
      <w:pPr>
        <w:pStyle w:val="Heading2"/>
      </w:pPr>
      <w:r>
        <w:t>5.1 Registrar una nueva gestante</w:t>
      </w:r>
      <w:bookmarkEnd w:id="1008"/>
    </w:p>
    <w:p>
      <w:pPr>
        <w:jc w:val="both"/>
      </w:pPr>
      <w:r>
        <w:rPr>
          <w:sz w:val="22"/>
        </w:rPr>
        <w:t>Para dar de alta a una paciente nueva: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① Toca el botón </w:t>
      </w:r>
      <w:r>
        <w:rPr>
          <w:b/>
          <w:sz w:val="22"/>
        </w:rPr>
        <w:t>“+”</w:t>
      </w:r>
      <w:r>
        <w:rPr>
          <w:sz w:val="22"/>
        </w:rPr>
        <w:t xml:space="preserve"> (Registrar nueva gestante). Se abre un formulario por pasos: identificación y DNI, embarazo actual (FUM), medidas y antecedentes, y contacto. Al finalizar, toca </w:t>
      </w:r>
      <w:r>
        <w:rPr>
          <w:b/>
          <w:sz w:val="22"/>
        </w:rPr>
        <w:t>“Guardar”</w:t>
      </w:r>
      <w:r>
        <w:rPr>
          <w:sz w:val="22"/>
        </w:rPr>
        <w:t>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B-5. Botón para registrar una nueva gestante.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2C6EA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>La ficha clínica de cada gestante tiene 4 pestañas: Resumen, Seguimiento, Tratamiento y Clínico. Desde su cabecera puedes llamar, escribir por WhatsApp o recomendar contenido educativo.</w:t>
            </w:r>
          </w:p>
        </w:tc>
      </w:tr>
    </w:tbl>
    <w:p>
      <w:pPr>
        <w:spacing w:after="80"/>
      </w:pPr>
    </w:p>
    <w:p>
      <w:bookmarkStart w:id="1009" w:name="bm_6__Agenda_de_citas"/>
      <w:pPr>
        <w:pStyle w:val="Heading2"/>
      </w:pPr>
      <w:r>
        <w:t>6. Agenda de citas</w:t>
      </w:r>
      <w:bookmarkEnd w:id="1009"/>
    </w:p>
    <w:p>
      <w:pPr>
        <w:jc w:val="both"/>
      </w:pPr>
      <w:r>
        <w:rPr>
          <w:sz w:val="22"/>
        </w:rPr>
        <w:t>Organiza y atiende tus citas.</w:t>
      </w:r>
    </w:p>
    <w:p>
      <w:pPr>
        <w:pStyle w:val="ListNumber"/>
        <w:spacing w:after="120" w:line="312" w:lineRule="auto"/>
      </w:pPr>
      <w:r>
        <w:rPr>
          <w:sz w:val="22"/>
        </w:rPr>
        <w:t>① Buscador de paciente por nombre o DNI.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② Filtros </w:t>
      </w:r>
      <w:r>
        <w:rPr>
          <w:b/>
          <w:sz w:val="22"/>
        </w:rPr>
        <w:t>“Hoy”</w:t>
      </w:r>
      <w:r>
        <w:rPr>
          <w:sz w:val="22"/>
        </w:rPr>
        <w:t xml:space="preserve">, </w:t>
      </w:r>
      <w:r>
        <w:rPr>
          <w:b/>
          <w:sz w:val="22"/>
        </w:rPr>
        <w:t>“Próximas”</w:t>
      </w:r>
      <w:r>
        <w:rPr>
          <w:sz w:val="22"/>
        </w:rPr>
        <w:t xml:space="preserve">, </w:t>
      </w:r>
      <w:r>
        <w:rPr>
          <w:b/>
          <w:sz w:val="22"/>
        </w:rPr>
        <w:t>“Historial”</w:t>
      </w:r>
      <w:r>
        <w:rPr>
          <w:sz w:val="22"/>
        </w:rPr>
        <w:t xml:space="preserve"> y </w:t>
      </w:r>
      <w:r>
        <w:rPr>
          <w:b/>
          <w:sz w:val="22"/>
        </w:rPr>
        <w:t>“Todas”</w:t>
      </w:r>
      <w:r>
        <w:rPr>
          <w:sz w:val="22"/>
        </w:rPr>
        <w:t xml:space="preserve"> (con el número de citas de cada uno).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B-6. Agenda de citas.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2C6EA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 xml:space="preserve">En cada cita puedes atenderla (flujo de 4 pasos: control, laboratorios, tamizajes y tratamiento), marcar </w:t>
            </w:r>
            <w:r>
              <w:rPr>
                <w:b/>
                <w:color w:val="16242B"/>
                <w:sz w:val="20"/>
              </w:rPr>
              <w:t>“No asistió”</w:t>
            </w:r>
            <w:r>
              <w:rPr>
                <w:color w:val="16242B"/>
                <w:sz w:val="20"/>
              </w:rPr>
              <w:t>, aprobar o rechazar una reprogramación, o convertirla en visita domiciliaria.</w:t>
            </w:r>
          </w:p>
        </w:tc>
      </w:tr>
    </w:tbl>
    <w:p>
      <w:pPr>
        <w:spacing w:after="80"/>
      </w:pPr>
    </w:p>
    <w:p>
      <w:bookmarkStart w:id="1010" w:name="bm_7__Reportes_e_indicadores"/>
      <w:pPr>
        <w:pStyle w:val="Heading2"/>
      </w:pPr>
      <w:r>
        <w:t>7. Reportes e indicadores</w:t>
      </w:r>
      <w:bookmarkEnd w:id="1010"/>
    </w:p>
    <w:p>
      <w:pPr>
        <w:jc w:val="both"/>
      </w:pPr>
      <w:r>
        <w:rPr>
          <w:sz w:val="22"/>
        </w:rPr>
        <w:t>Consulta tus indicadores clínicos y los oficiales MINSA.</w:t>
      </w:r>
    </w:p>
    <w:p>
      <w:pPr>
        <w:pStyle w:val="ListNumber"/>
        <w:spacing w:after="120" w:line="312" w:lineRule="auto"/>
      </w:pPr>
      <w:r>
        <w:rPr>
          <w:sz w:val="22"/>
        </w:rPr>
        <w:t>① KPIs principales: pacientes, adherencia, gestantes con 6+ controles y casos de alto riesgo. Más abajo: indicadores MINSA frente a su meta y la atención prioritaria.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B-7. Reportes e indicadores clínicos.</w:t>
      </w:r>
    </w:p>
    <w:p>
      <w:bookmarkStart w:id="1011" w:name="bm_7_1_Exportar_reportes"/>
      <w:pPr>
        <w:pStyle w:val="Heading2"/>
      </w:pPr>
      <w:r>
        <w:t>7.1 Exportar reportes</w:t>
      </w:r>
      <w:bookmarkEnd w:id="1011"/>
    </w:p>
    <w:p>
      <w:pPr>
        <w:jc w:val="both"/>
      </w:pPr>
      <w:r>
        <w:rPr>
          <w:sz w:val="22"/>
        </w:rPr>
        <w:t>Puedes descargar tus reportes para imprimir o compartir.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① Toca </w:t>
      </w:r>
      <w:r>
        <w:rPr>
          <w:b/>
          <w:sz w:val="22"/>
        </w:rPr>
        <w:t>“Excel”</w:t>
      </w:r>
      <w:r>
        <w:rPr>
          <w:sz w:val="22"/>
        </w:rPr>
        <w:t xml:space="preserve"> para descargar la hoja de cálculo completa.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② Toca </w:t>
      </w:r>
      <w:r>
        <w:rPr>
          <w:b/>
          <w:sz w:val="22"/>
        </w:rPr>
        <w:t>“PDF”</w:t>
      </w:r>
      <w:r>
        <w:rPr>
          <w:sz w:val="22"/>
        </w:rPr>
        <w:t xml:space="preserve"> para generar un reporte clínico listo para imprimir.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B-8. Botones para exportar a Excel y PDF.</w:t>
      </w:r>
    </w:p>
    <w:p>
      <w:bookmarkStart w:id="1012" w:name="bm_8__Chat_con_gestantes"/>
      <w:pPr>
        <w:pStyle w:val="Heading2"/>
      </w:pPr>
      <w:r>
        <w:t>8. Chat con gestantes</w:t>
      </w:r>
      <w:bookmarkEnd w:id="1012"/>
    </w:p>
    <w:p>
      <w:pPr>
        <w:jc w:val="both"/>
      </w:pPr>
      <w:r>
        <w:rPr>
          <w:sz w:val="22"/>
        </w:rPr>
        <w:t>Responde consultas o envía avisos a tus gestantes.</w:t>
      </w:r>
    </w:p>
    <w:p>
      <w:pPr>
        <w:pStyle w:val="ListNumber"/>
        <w:spacing w:after="120" w:line="312" w:lineRule="auto"/>
      </w:pPr>
      <w:r>
        <w:rPr>
          <w:sz w:val="22"/>
        </w:rPr>
        <w:t>① Busca a una gestante por nombre o DNI y toca su conversación para abrir el chat. También puedes enviar un mensaje masivo a un grupo según trimestre o nivel de riesgo.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B-9. Bandeja de conversaciones.</w:t>
      </w:r>
    </w:p>
    <w:p>
      <w:bookmarkStart w:id="1013" w:name="bm_9__Mi_perfil"/>
      <w:pPr>
        <w:pStyle w:val="Heading2"/>
      </w:pPr>
      <w:r>
        <w:t>9. Mi perfil</w:t>
      </w:r>
      <w:bookmarkEnd w:id="1013"/>
    </w:p>
    <w:p>
      <w:pPr>
        <w:jc w:val="both"/>
      </w:pPr>
      <w:r>
        <w:rPr>
          <w:sz w:val="22"/>
        </w:rPr>
        <w:t>Desde tu perfil editas tus datos, ajustas tus notificaciones y puedes repetir el recorrido guiado.</w:t>
      </w:r>
    </w:p>
    <w:p>
      <w:pPr>
        <w:pStyle w:val="ListNumber"/>
        <w:spacing w:after="120" w:line="312" w:lineRule="auto"/>
      </w:pPr>
      <w:r>
        <w:rPr>
          <w:sz w:val="22"/>
        </w:rPr>
        <w:t xml:space="preserve">① </w:t>
      </w:r>
      <w:r>
        <w:rPr>
          <w:b/>
          <w:sz w:val="22"/>
        </w:rPr>
        <w:t>“Conoce tu app”</w:t>
      </w:r>
      <w:r>
        <w:rPr>
          <w:sz w:val="22"/>
        </w:rPr>
        <w:t>: repite el recorrido guiado cuando quieras.</w:t>
      </w:r>
    </w:p>
    <w:p>
      <w:pPr>
        <w:keepNext/>
        <w:keepLines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B-10. Pantalla de perfil de la obstetra.</w:t>
      </w:r>
    </w:p>
    <w:p>
      <w:pPr>
        <w:spacing w:after="200"/>
      </w:pPr>
    </w:p>
    <w:p>
      <w:bookmarkStart w:id="1014" w:name="bm_Soluci_n_de_problemas"/>
      <w:pPr>
        <w:pStyle w:val="Heading1"/>
        <w:pBdr>
          <w:bottom w:val="single" w:sz="8" w:space="4" w:color="2C6EA8"/>
        </w:pBdr>
      </w:pPr>
      <w:r>
        <w:t>Solución de problemas</w:t>
      </w:r>
      <w:bookmarkEnd w:id="1014"/>
    </w:p>
    <w:p>
      <w:pPr>
        <w:pStyle w:val="Heading3"/>
      </w:pPr>
      <w:r>
        <w:t>No veo a una gestante en mi lista</w:t>
      </w:r>
    </w:p>
    <w:p>
      <w:pPr>
        <w:jc w:val="both"/>
      </w:pPr>
      <w:r>
        <w:rPr>
          <w:sz w:val="22"/>
        </w:rPr>
        <w:t>Verifica el filtro de riesgo activo y usa el buscador por nombre o DNI. Si la paciente es de otra obstetra, no aparecerá en tu lista.</w:t>
      </w:r>
    </w:p>
    <w:p>
      <w:pPr>
        <w:pStyle w:val="Heading3"/>
      </w:pPr>
      <w:r>
        <w:t>No puedo registrar una gestante</w:t>
      </w:r>
    </w:p>
    <w:p>
      <w:pPr>
        <w:jc w:val="both"/>
      </w:pPr>
      <w:r>
        <w:rPr>
          <w:sz w:val="22"/>
        </w:rPr>
        <w:t>Completa todos los campos obligatorios del formulario (marcados con *). El DNI no puede estar repetido en el sistema.</w:t>
      </w:r>
    </w:p>
    <w:p>
      <w:pPr>
        <w:pStyle w:val="Heading3"/>
      </w:pPr>
      <w:r>
        <w:t>La exportación no descarga</w:t>
      </w:r>
    </w:p>
    <w:p>
      <w:pPr>
        <w:jc w:val="both"/>
      </w:pPr>
      <w:r>
        <w:rPr>
          <w:sz w:val="22"/>
        </w:rPr>
        <w:t>Revisa tu conexión a internet e inténtalo nuevamente; en el portal web la descarga se inicia en el navegador.</w:t>
      </w:r>
    </w:p>
    <w:p>
      <w:bookmarkStart w:id="1015" w:name="bm_Preguntas_frecuentes"/>
      <w:pPr>
        <w:pStyle w:val="Heading1"/>
        <w:pBdr>
          <w:bottom w:val="single" w:sz="8" w:space="4" w:color="2C6EA8"/>
        </w:pBdr>
      </w:pPr>
      <w:r>
        <w:t>Preguntas frecuentes</w:t>
      </w:r>
      <w:bookmarkEnd w:id="1015"/>
    </w:p>
    <w:p>
      <w:pPr>
        <w:pStyle w:val="Heading3"/>
      </w:pPr>
      <w:r>
        <w:t>¿Cómo atiendo una cita?</w:t>
      </w:r>
    </w:p>
    <w:p>
      <w:pPr>
        <w:jc w:val="both"/>
      </w:pPr>
      <w:r>
        <w:rPr>
          <w:sz w:val="22"/>
        </w:rPr>
        <w:t xml:space="preserve">Desde la Agenda, abre la cita y usa </w:t>
      </w:r>
      <w:r>
        <w:rPr>
          <w:b/>
          <w:sz w:val="22"/>
        </w:rPr>
        <w:t>“Atender”</w:t>
      </w:r>
      <w:r>
        <w:rPr>
          <w:sz w:val="22"/>
        </w:rPr>
        <w:t>: te guiará por control, laboratorios, tamizajes y tratamiento.</w:t>
      </w:r>
    </w:p>
    <w:p>
      <w:pPr>
        <w:pStyle w:val="Heading3"/>
      </w:pPr>
      <w:r>
        <w:t>¿Puedo enviar un aviso a varias gestantes?</w:t>
      </w:r>
    </w:p>
    <w:p>
      <w:pPr>
        <w:jc w:val="both"/>
      </w:pPr>
      <w:r>
        <w:rPr>
          <w:sz w:val="22"/>
        </w:rPr>
        <w:t xml:space="preserve">Sí, desde el Chat usa </w:t>
      </w:r>
      <w:r>
        <w:rPr>
          <w:b/>
          <w:sz w:val="22"/>
        </w:rPr>
        <w:t>“Mensaje masivo”</w:t>
      </w:r>
      <w:r>
        <w:rPr>
          <w:sz w:val="22"/>
        </w:rPr>
        <w:t xml:space="preserve"> y filtra por trimestre o riesgo.</w:t>
      </w:r>
    </w:p>
    <w:p>
      <w:pPr>
        <w:pStyle w:val="Heading3"/>
      </w:pPr>
      <w:r>
        <w:t>¿Dónde veo los indicadores MINSA?</w:t>
      </w:r>
    </w:p>
    <w:p>
      <w:pPr>
        <w:jc w:val="both"/>
      </w:pPr>
      <w:r>
        <w:rPr>
          <w:sz w:val="22"/>
        </w:rPr>
        <w:t xml:space="preserve">En la pantalla de Reportes, sección </w:t>
      </w:r>
      <w:r>
        <w:rPr>
          <w:b/>
          <w:sz w:val="22"/>
        </w:rPr>
        <w:t>“Indicadores MINSA / ENDES”</w:t>
      </w:r>
      <w:r>
        <w:rPr>
          <w:sz w:val="22"/>
        </w:rPr>
        <w:t>.</w:t>
      </w:r>
    </w:p>
    <w:p>
      <w:bookmarkStart w:id="1016" w:name="bm_Glosario"/>
      <w:pPr>
        <w:pStyle w:val="Heading1"/>
        <w:pBdr>
          <w:bottom w:val="single" w:sz="8" w:space="4" w:color="2C6EA8"/>
        </w:pBdr>
      </w:pPr>
      <w:r>
        <w:t>Glosario</w:t>
      </w:r>
      <w:bookmarkEnd w:id="1016"/>
    </w:p>
    <w:p>
      <w:r>
        <w:rPr>
          <w:b/>
        </w:rPr>
        <w:t xml:space="preserve">KPI: </w:t>
      </w:r>
      <w:r>
        <w:t>Indicador clave de desempeño (cifra resumen como citas del día o pacientes).</w:t>
      </w:r>
    </w:p>
    <w:p>
      <w:r>
        <w:rPr>
          <w:b/>
        </w:rPr>
        <w:t xml:space="preserve">MINSA / ENDES: </w:t>
      </w:r>
      <w:r>
        <w:t>Indicadores oficiales de salud materna que el sistema reporta.</w:t>
      </w:r>
    </w:p>
    <w:p>
      <w:r>
        <w:rPr>
          <w:b/>
        </w:rPr>
        <w:t xml:space="preserve">Adherencia: </w:t>
      </w:r>
      <w:r>
        <w:t>Constancia de la gestante en la toma de sus suplementos.</w:t>
      </w:r>
    </w:p>
    <w:p>
      <w:r>
        <w:rPr>
          <w:b/>
        </w:rPr>
        <w:t xml:space="preserve">Tamizaje: </w:t>
      </w:r>
      <w:r>
        <w:t>Evaluación para detectar riesgos (violencia, salud mental, etc.).</w:t>
      </w:r>
    </w:p>
    <w:p>
      <w:r>
        <w:rPr>
          <w:b/>
        </w:rPr>
        <w:t xml:space="preserve">Ficha clínica: </w:t>
      </w:r>
      <w:r>
        <w:t>Historia clínica completa de la gestante, organizada en pestañas.</w:t>
      </w:r>
    </w:p>
    <w:p>
      <w:bookmarkStart w:id="1017" w:name="bm_Soporte_y_contacto"/>
      <w:pPr>
        <w:pStyle w:val="Heading1"/>
        <w:pBdr>
          <w:bottom w:val="single" w:sz="8" w:space="4" w:color="2C6EA8"/>
        </w:pBdr>
      </w:pPr>
      <w:r>
        <w:t>Soporte y contacto</w:t>
      </w:r>
      <w:bookmarkEnd w:id="1017"/>
    </w:p>
    <w:p>
      <w:pPr>
        <w:jc w:val="both"/>
      </w:pPr>
      <w:r>
        <w:rPr>
          <w:sz w:val="22"/>
        </w:rPr>
        <w:t>Para soporte de la aplicación, comunícate con el área de sistemas de tu establecimiento. Para emergencias clínicas, acude al establecimiento de salud.</w:t>
      </w:r>
    </w:p>
    <w:p>
      <w:r>
        <w:rPr>
          <w:b/>
        </w:rPr>
        <w:t>Centro de Salud Talavera</w:t>
        <w:br/>
      </w:r>
      <w:r>
        <w:t>Andahuaylas, Apurímac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6873"/>
        <w:sz w:val="16"/>
      </w:rPr>
      <w:t xml:space="preserve">VITMATERNA · Guía para la Obstetra     ·     Página </w:t>
    </w:r>
    <w:r>
      <w:rPr>
        <w:color w:val="566873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66873"/>
        <w:sz w:val="16"/>
      </w:rPr>
      <w:t xml:space="preserve"> de </w:t>
    </w:r>
    <w:r>
      <w:rPr>
        <w:color w:val="566873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C6EA8"/>
        <w:sz w:val="18"/>
      </w:rPr>
      <w:t>VITMATERNA</w:t>
    </w:r>
    <w:r>
      <w:rPr>
        <w:color w:val="566873"/>
        <w:sz w:val="18"/>
      </w:rPr>
      <w:t xml:space="preserve">  ·  Salud Prenatal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 w:before="0"/>
    </w:pPr>
    <w:rPr>
      <w:rFonts w:ascii="Carlito" w:hAnsi="Carlito"/>
      <w:color w:val="16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Carlito" w:hAnsi="Carlito"/>
      <w:b/>
      <w:bCs/>
      <w:i w:val="0"/>
      <w:color w:val="2C6E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76" w:lineRule="auto"/>
      <w:outlineLvl w:val="1"/>
    </w:pPr>
    <w:rPr>
      <w:rFonts w:asciiTheme="majorHAnsi" w:eastAsiaTheme="majorEastAsia" w:hAnsiTheme="majorHAnsi" w:cstheme="majorBidi" w:ascii="Carlito" w:hAnsi="Carlito"/>
      <w:b/>
      <w:bCs/>
      <w:i w:val="0"/>
      <w:color w:val="1624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 w:line="276" w:lineRule="auto"/>
      <w:outlineLvl w:val="2"/>
    </w:pPr>
    <w:rPr>
      <w:rFonts w:asciiTheme="majorHAnsi" w:eastAsiaTheme="majorEastAsia" w:hAnsiTheme="majorHAnsi" w:cstheme="majorBidi" w:ascii="Carlito" w:hAnsi="Carlito"/>
      <w:b/>
      <w:bCs/>
      <w:i w:val="0"/>
      <w:color w:val="2C6E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12" w:lineRule="auto"/>
      <w:contextualSpacing/>
    </w:pPr>
    <w:rPr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VITMATERNA — Guía para la Obstetra</dc:title>
  <dc:subject/>
  <dc:creator>CRISTHIAN RODRIGO BERROCAL SALAZAR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Manual de Usuario</cp:category>
</cp:coreProperties>
</file>