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643D8" id="Rectangle 3" o:spid="_x0000_s1026" style="position:absolute;margin-left:-94.65pt;margin-top:11.1pt;width:602.4pt;height:90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099E0F3E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="000D13E3">
        <w:t>José María Sevilla Avendaño</w:t>
      </w:r>
    </w:p>
    <w:p w14:paraId="3979FC5A" w14:textId="3CA64B4E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="004B60B1">
        <w:t>17</w:t>
      </w:r>
      <w:r w:rsidRPr="00FF19CE">
        <w:t>/</w:t>
      </w:r>
      <w:r w:rsidR="004B60B1">
        <w:t>11</w:t>
      </w:r>
      <w:r w:rsidRPr="00FF19CE">
        <w:t>/</w:t>
      </w:r>
      <w:r w:rsidR="004B60B1">
        <w:t>2025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16641D79" w:rsidR="005C4BE9" w:rsidRPr="00804A12" w:rsidRDefault="00925DCA" w:rsidP="00804A12">
      <w:pPr>
        <w:pStyle w:val="TituloApartado1"/>
      </w:pPr>
      <w:r w:rsidRPr="00925DCA">
        <w:t>Actividad 1. Análisis de dianas de miRNAs y rutas de señalización implicadas</w:t>
      </w:r>
    </w:p>
    <w:p w14:paraId="5F2BC720" w14:textId="77777777" w:rsidR="00B65A12" w:rsidRPr="00B65A12" w:rsidRDefault="00B65A12" w:rsidP="00B65A12"/>
    <w:p w14:paraId="2D830F09" w14:textId="77777777" w:rsidR="00B65A12" w:rsidRPr="00B65A12" w:rsidRDefault="00B65A12" w:rsidP="00415375">
      <w:bookmarkStart w:id="0" w:name="_Hlk212922341"/>
      <w:r w:rsidRPr="00340440">
        <w:rPr>
          <w:b/>
          <w:bCs/>
        </w:rPr>
        <w:t>Experimento ficticio:</w:t>
      </w:r>
      <w:r w:rsidRPr="00B65A12">
        <w:t xml:space="preserve"> en el contexto de la arteriosclerosis, se han tratado unos macrófagos* humanos con exceso de colesterol en forma de LDL-acetiladas que ha hecho que el macrófago se cargue excesivamente con colesterol y lípidos. Como mecanismo de respuesta, el macrófago intenta eliminar dicho exceso de colesterol. Se ha realizado un análisis de expresión de miRNAs en esas condiciones y se ha observado que frente al control los macrófagos cargados con LDL-acetiladas reprimen la expresión de los siguientes miRNAs: hsa-miR-33a-5p, hsa-miR-33b-5p, hsa-miR-144-3p, hsa-miR-758-3p y hsa-miR-106b-5p.</w:t>
      </w:r>
    </w:p>
    <w:p w14:paraId="17E4A224" w14:textId="77777777" w:rsidR="00B65A12" w:rsidRPr="00B65A12" w:rsidRDefault="00B65A12" w:rsidP="00415375"/>
    <w:p w14:paraId="392CF8B3" w14:textId="77777777" w:rsidR="00B65A12" w:rsidRPr="00B65A12" w:rsidRDefault="00B65A12" w:rsidP="00415375">
      <w:pPr>
        <w:pStyle w:val="Ejemplos"/>
      </w:pPr>
      <w:r w:rsidRPr="00B65A12">
        <w:t xml:space="preserve">*Los </w:t>
      </w:r>
      <w:r w:rsidRPr="00B65A12">
        <w:rPr>
          <w:b/>
          <w:bCs/>
        </w:rPr>
        <w:t xml:space="preserve">macrófagos </w:t>
      </w:r>
      <w:r w:rsidRPr="00B65A12">
        <w:t>son células del sistema inmunológico que al encontrar exceso de colesterol (ejemplo: LDL-oxidadas) en la íntima de las arterias (la capa más interna) intenta eliminarlo a través de un proceso llamado transporte reverso del colesterol. La acumulación excesiva de colesterol dentro del macrófago hace que este se transforme en una célula espumosa y muera en la íntima contribuyendo a la formación de una placa aterosclerótica.</w:t>
      </w:r>
    </w:p>
    <w:bookmarkEnd w:id="0"/>
    <w:p w14:paraId="3ED46ACF" w14:textId="77777777" w:rsidR="00AF0541" w:rsidRDefault="00AF0541" w:rsidP="00415375">
      <w:pPr>
        <w:rPr>
          <w:b/>
          <w:bCs/>
          <w:sz w:val="32"/>
          <w:szCs w:val="32"/>
        </w:rPr>
      </w:pPr>
    </w:p>
    <w:p w14:paraId="0D4DB8A8" w14:textId="04F179A5" w:rsidR="00B65A12" w:rsidRPr="00AF0541" w:rsidRDefault="00AF0541" w:rsidP="00415375">
      <w:pPr>
        <w:rPr>
          <w:b/>
          <w:bCs/>
          <w:sz w:val="32"/>
          <w:szCs w:val="32"/>
        </w:rPr>
      </w:pPr>
      <w:r w:rsidRPr="00AF0541">
        <w:rPr>
          <w:b/>
          <w:bCs/>
          <w:sz w:val="32"/>
          <w:szCs w:val="32"/>
        </w:rPr>
        <w:t>Metodología y resultados</w:t>
      </w:r>
    </w:p>
    <w:p w14:paraId="3498D22D" w14:textId="60A6416F" w:rsidR="00AA4FDC" w:rsidRDefault="00AA4FDC" w:rsidP="00415375">
      <w:r>
        <w:t xml:space="preserve">2 bases de datos diferentes para predecir los genes diana a los que se puede unir un miRNA se han usado en esta actividad: </w:t>
      </w:r>
      <w:r w:rsidRPr="00AF0541">
        <w:rPr>
          <w:b/>
          <w:bCs/>
        </w:rPr>
        <w:t>TargetScan</w:t>
      </w:r>
      <w:r>
        <w:t xml:space="preserve"> y </w:t>
      </w:r>
      <w:r w:rsidRPr="00AF0541">
        <w:rPr>
          <w:b/>
          <w:bCs/>
        </w:rPr>
        <w:t>miRNA</w:t>
      </w:r>
      <w:r w:rsidR="00667AD8">
        <w:t xml:space="preserve"> (1, 2)</w:t>
      </w:r>
    </w:p>
    <w:p w14:paraId="65C3D18D" w14:textId="77777777" w:rsidR="00AA4FDC" w:rsidRDefault="00AA4FDC" w:rsidP="00415375"/>
    <w:p w14:paraId="244AF9D2" w14:textId="77777777" w:rsidR="00AA4FDC" w:rsidRPr="00B65A12" w:rsidRDefault="00AA4FDC" w:rsidP="00415375">
      <w:r w:rsidRPr="00AF0541">
        <w:rPr>
          <w:b/>
          <w:bCs/>
        </w:rPr>
        <w:t>Target scan</w:t>
      </w:r>
      <w:r>
        <w:t>:</w:t>
      </w:r>
    </w:p>
    <w:p w14:paraId="6B5EC0D5" w14:textId="77777777" w:rsidR="00AA4FDC" w:rsidRDefault="00AA4FDC" w:rsidP="00415375">
      <w:r w:rsidRPr="000A54C1">
        <w:t>hsa-miR-33a-5p</w:t>
      </w:r>
      <w:r>
        <w:t>: Un total de 545 genes diana se predicen para este mRNA</w:t>
      </w:r>
    </w:p>
    <w:p w14:paraId="2D189986" w14:textId="77777777" w:rsidR="00AA4FDC" w:rsidRDefault="00AA4FDC" w:rsidP="00415375">
      <w:r w:rsidRPr="000A54C1">
        <w:lastRenderedPageBreak/>
        <w:t>hsa-miR-33</w:t>
      </w:r>
      <w:r>
        <w:t>b</w:t>
      </w:r>
      <w:r w:rsidRPr="000A54C1">
        <w:t>-5p</w:t>
      </w:r>
      <w:r>
        <w:t>: Un total de 545 genes diana se predicen para este miRNA.</w:t>
      </w:r>
    </w:p>
    <w:p w14:paraId="23C6841F" w14:textId="77777777" w:rsidR="00AA4FDC" w:rsidRDefault="00AA4FDC" w:rsidP="00415375">
      <w:r w:rsidRPr="00B65A12">
        <w:t>hsa-miR-144-3p</w:t>
      </w:r>
      <w:r>
        <w:t>: Un total de 1048</w:t>
      </w:r>
      <w:r w:rsidRPr="004E52AC">
        <w:t xml:space="preserve"> </w:t>
      </w:r>
      <w:r>
        <w:t>genes diana se predicen para este miRNA</w:t>
      </w:r>
      <w:r w:rsidRPr="004E52AC">
        <w:t>.</w:t>
      </w:r>
    </w:p>
    <w:p w14:paraId="11C755F5" w14:textId="77777777" w:rsidR="00AA4FDC" w:rsidRDefault="00AA4FDC" w:rsidP="00415375">
      <w:r w:rsidRPr="004E52AC">
        <w:t>hsa-miR-758-3p</w:t>
      </w:r>
      <w:r>
        <w:t>: Un total de 271</w:t>
      </w:r>
      <w:r w:rsidRPr="004E52AC">
        <w:t xml:space="preserve"> </w:t>
      </w:r>
      <w:r>
        <w:t>genes diana se predicen para este miRNA</w:t>
      </w:r>
    </w:p>
    <w:p w14:paraId="2739506D" w14:textId="77777777" w:rsidR="00AA4FDC" w:rsidRDefault="00AA4FDC" w:rsidP="00415375">
      <w:r w:rsidRPr="00B65A12">
        <w:t>hsa-miR-106b-5p</w:t>
      </w:r>
      <w:r>
        <w:t>: Un total de 1385 genes diana se predicen para este miRNA.</w:t>
      </w:r>
    </w:p>
    <w:p w14:paraId="5CCF36D2" w14:textId="77777777" w:rsidR="00AA4FDC" w:rsidRDefault="00AA4FDC" w:rsidP="00415375">
      <w:r>
        <w:t xml:space="preserve"> </w:t>
      </w:r>
    </w:p>
    <w:p w14:paraId="1476EC3C" w14:textId="77777777" w:rsidR="00AA4FDC" w:rsidRDefault="00AA4FDC" w:rsidP="00415375">
      <w:r w:rsidRPr="00AF0541">
        <w:rPr>
          <w:b/>
          <w:bCs/>
        </w:rPr>
        <w:t>miRDB</w:t>
      </w:r>
      <w:r>
        <w:t>:</w:t>
      </w:r>
    </w:p>
    <w:p w14:paraId="31517A63" w14:textId="77777777" w:rsidR="00AA4FDC" w:rsidRDefault="00AA4FDC" w:rsidP="00415375">
      <w:r>
        <w:t>hsa-miR-33a-5p: Un total de 472 genes dianas se predicen para este miRNA.</w:t>
      </w:r>
    </w:p>
    <w:p w14:paraId="1DD0F179" w14:textId="77777777" w:rsidR="00AA4FDC" w:rsidRDefault="00AA4FDC" w:rsidP="00415375">
      <w:r>
        <w:t xml:space="preserve">Hsa-miR-33b-5p: </w:t>
      </w:r>
      <w:bookmarkStart w:id="1" w:name="_Hlk212648000"/>
      <w:r w:rsidRPr="00017482">
        <w:t>Un total de 47</w:t>
      </w:r>
      <w:r>
        <w:t>5</w:t>
      </w:r>
      <w:r w:rsidRPr="00017482">
        <w:t xml:space="preserve"> </w:t>
      </w:r>
      <w:r>
        <w:t xml:space="preserve">genes </w:t>
      </w:r>
      <w:r w:rsidRPr="00017482">
        <w:t>dianas se predicen para este miRNA</w:t>
      </w:r>
      <w:r>
        <w:t>.</w:t>
      </w:r>
      <w:bookmarkEnd w:id="1"/>
    </w:p>
    <w:p w14:paraId="73CC69B3" w14:textId="77777777" w:rsidR="00AA4FDC" w:rsidRDefault="00AA4FDC" w:rsidP="00415375">
      <w:r>
        <w:t xml:space="preserve">Hsa-miR-144-3p: </w:t>
      </w:r>
      <w:bookmarkStart w:id="2" w:name="_Hlk212648176"/>
      <w:r w:rsidRPr="00017482">
        <w:t xml:space="preserve">Un total de </w:t>
      </w:r>
      <w:r>
        <w:t>1254</w:t>
      </w:r>
      <w:r w:rsidRPr="00017482">
        <w:t xml:space="preserve"> </w:t>
      </w:r>
      <w:r>
        <w:t xml:space="preserve">genes </w:t>
      </w:r>
      <w:r w:rsidRPr="00017482">
        <w:t>dianas se predicen para este miRNA</w:t>
      </w:r>
      <w:bookmarkEnd w:id="2"/>
      <w:r w:rsidRPr="00017482">
        <w:t>.</w:t>
      </w:r>
    </w:p>
    <w:p w14:paraId="03FFE175" w14:textId="77777777" w:rsidR="00AA4FDC" w:rsidRDefault="00AA4FDC" w:rsidP="00415375">
      <w:r w:rsidRPr="004E52AC">
        <w:t>hsa-miR-758-3p</w:t>
      </w:r>
      <w:r>
        <w:t xml:space="preserve">: </w:t>
      </w:r>
      <w:r w:rsidRPr="00017482">
        <w:t xml:space="preserve">Un total de </w:t>
      </w:r>
      <w:r>
        <w:t>533</w:t>
      </w:r>
      <w:r w:rsidRPr="00017482">
        <w:t xml:space="preserve"> </w:t>
      </w:r>
      <w:r>
        <w:t xml:space="preserve">genes </w:t>
      </w:r>
      <w:r w:rsidRPr="00017482">
        <w:t>dianas se predicen para este miRNA</w:t>
      </w:r>
      <w:r>
        <w:t>.</w:t>
      </w:r>
    </w:p>
    <w:p w14:paraId="0A78E880" w14:textId="77777777" w:rsidR="00AA4FDC" w:rsidRDefault="00AA4FDC" w:rsidP="00415375">
      <w:r w:rsidRPr="00B65A12">
        <w:t>hsa-miR-106b-5p</w:t>
      </w:r>
      <w:r>
        <w:t xml:space="preserve">: </w:t>
      </w:r>
      <w:r w:rsidRPr="00017482">
        <w:t xml:space="preserve">Un total de </w:t>
      </w:r>
      <w:r>
        <w:t>1384</w:t>
      </w:r>
      <w:r w:rsidRPr="00017482">
        <w:t xml:space="preserve"> </w:t>
      </w:r>
      <w:r>
        <w:t xml:space="preserve">genes </w:t>
      </w:r>
      <w:r w:rsidRPr="00017482">
        <w:t>dianas se predicen para este miRNA</w:t>
      </w:r>
      <w:r>
        <w:t>.</w:t>
      </w:r>
    </w:p>
    <w:p w14:paraId="5B7C234E" w14:textId="77777777" w:rsidR="00AA4FDC" w:rsidRDefault="00AA4FDC" w:rsidP="00415375"/>
    <w:p w14:paraId="44635901" w14:textId="4F07B64C" w:rsidR="00AA4FDC" w:rsidRDefault="00AA4FDC" w:rsidP="00415375">
      <w:r>
        <w:t>En el caso de TargetScan predice los genes diana para varios miRNA a la vez, como es el caso de los miRNA hsa-miR-33a-5p y hsa-miR-33b-5p, obteniendo la misma cantidad de genes diana</w:t>
      </w:r>
      <w:r w:rsidR="00667AD8">
        <w:t xml:space="preserve"> (1)</w:t>
      </w:r>
      <w:r>
        <w:t xml:space="preserve">, mientras que miRDB predice los genes diana de un miRNA a la vez, aunque en los casos de </w:t>
      </w:r>
      <w:r w:rsidRPr="00123993">
        <w:t>hsa-miR-33a-5p y hsa-miR-33b-5p</w:t>
      </w:r>
      <w:r>
        <w:t xml:space="preserve"> se encuentran unas cantidades de genes diana muy parecidas</w:t>
      </w:r>
      <w:r w:rsidR="00667AD8">
        <w:t xml:space="preserve"> (2)</w:t>
      </w:r>
      <w:r>
        <w:t>.</w:t>
      </w:r>
    </w:p>
    <w:p w14:paraId="3AE225A4" w14:textId="77777777" w:rsidR="00AF0541" w:rsidRDefault="00AF0541" w:rsidP="00415375"/>
    <w:p w14:paraId="325A43E5" w14:textId="362E4C26" w:rsidR="00AA4FDC" w:rsidRDefault="00AA4FDC" w:rsidP="00415375">
      <w:r>
        <w:t xml:space="preserve">Mediante los </w:t>
      </w:r>
      <w:r w:rsidRPr="00AF0541">
        <w:rPr>
          <w:b/>
          <w:bCs/>
        </w:rPr>
        <w:t>diagramas de Venn</w:t>
      </w:r>
      <w:r>
        <w:t xml:space="preserve"> encontramos diferencias en los entre los genes diana a los cuales se unirían los 5 miRNA a estudiar</w:t>
      </w:r>
      <w:r w:rsidR="00667AD8">
        <w:t xml:space="preserve"> (3)</w:t>
      </w:r>
      <w:r>
        <w:t xml:space="preserve">. </w:t>
      </w:r>
    </w:p>
    <w:p w14:paraId="03E524C7" w14:textId="77777777" w:rsidR="00794569" w:rsidRDefault="00794569" w:rsidP="00415375">
      <w:pPr>
        <w:keepNext/>
      </w:pPr>
      <w:r>
        <w:rPr>
          <w:noProof/>
        </w:rPr>
        <w:drawing>
          <wp:inline distT="0" distB="0" distL="0" distR="0" wp14:anchorId="39EE4356" wp14:editId="19129BB7">
            <wp:extent cx="5219700" cy="2300605"/>
            <wp:effectExtent l="0" t="0" r="0" b="4445"/>
            <wp:docPr id="1121627872" name="Imagen 4" descr="Diagrama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27872" name="Imagen 4" descr="Diagrama, Gráfico radial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50BA" w14:textId="24FFCAA8" w:rsidR="00794569" w:rsidRPr="00794569" w:rsidRDefault="00794569" w:rsidP="00415375">
      <w:pPr>
        <w:pStyle w:val="Descripcin"/>
        <w:rPr>
          <w:i w:val="0"/>
          <w:iCs w:val="0"/>
          <w:color w:val="000000" w:themeColor="text1"/>
          <w:sz w:val="20"/>
          <w:szCs w:val="20"/>
        </w:rPr>
      </w:pPr>
      <w:r>
        <w:rPr>
          <w:i w:val="0"/>
          <w:iCs w:val="0"/>
          <w:color w:val="000000" w:themeColor="text1"/>
          <w:sz w:val="20"/>
          <w:szCs w:val="20"/>
        </w:rPr>
        <w:t>Imagen 1:</w:t>
      </w:r>
      <w:r w:rsidRPr="00794569">
        <w:rPr>
          <w:i w:val="0"/>
          <w:iCs w:val="0"/>
          <w:color w:val="000000" w:themeColor="text1"/>
          <w:sz w:val="20"/>
          <w:szCs w:val="20"/>
        </w:rPr>
        <w:t xml:space="preserve"> Diagrama</w:t>
      </w:r>
      <w:r>
        <w:rPr>
          <w:i w:val="0"/>
          <w:iCs w:val="0"/>
          <w:color w:val="000000" w:themeColor="text1"/>
          <w:sz w:val="20"/>
          <w:szCs w:val="20"/>
        </w:rPr>
        <w:t>s</w:t>
      </w:r>
      <w:r w:rsidRPr="00794569">
        <w:rPr>
          <w:i w:val="0"/>
          <w:iCs w:val="0"/>
          <w:color w:val="000000" w:themeColor="text1"/>
          <w:sz w:val="20"/>
          <w:szCs w:val="20"/>
        </w:rPr>
        <w:t xml:space="preserve"> de Venn de los genes obtenidos a partir de las bases de datos miRDB (A) y TargetScan (B) de los miRNA </w:t>
      </w:r>
      <w:r>
        <w:rPr>
          <w:i w:val="0"/>
          <w:iCs w:val="0"/>
          <w:color w:val="000000" w:themeColor="text1"/>
          <w:sz w:val="20"/>
          <w:szCs w:val="20"/>
        </w:rPr>
        <w:t>problema.</w:t>
      </w:r>
    </w:p>
    <w:p w14:paraId="72D15511" w14:textId="36E88F8C" w:rsidR="004004CF" w:rsidRDefault="004004CF" w:rsidP="00415375"/>
    <w:p w14:paraId="148126C8" w14:textId="60CF5F66" w:rsidR="00AA4FDC" w:rsidRDefault="004004CF" w:rsidP="00415375">
      <w:r>
        <w:lastRenderedPageBreak/>
        <w:t xml:space="preserve">En el caso de TargetScan, los 5 miRNA tienen como genes diana: </w:t>
      </w:r>
      <w:r w:rsidRPr="00AF0541">
        <w:rPr>
          <w:b/>
          <w:bCs/>
        </w:rPr>
        <w:t>SCN1A</w:t>
      </w:r>
      <w:r>
        <w:t xml:space="preserve">, </w:t>
      </w:r>
      <w:r w:rsidRPr="00AF0541">
        <w:rPr>
          <w:b/>
          <w:bCs/>
        </w:rPr>
        <w:t>SNTB2</w:t>
      </w:r>
      <w:r>
        <w:t xml:space="preserve">, </w:t>
      </w:r>
      <w:r w:rsidRPr="00AF0541">
        <w:rPr>
          <w:b/>
          <w:bCs/>
        </w:rPr>
        <w:t>KPNA3</w:t>
      </w:r>
      <w:r>
        <w:t xml:space="preserve">, </w:t>
      </w:r>
      <w:r w:rsidRPr="00AF0541">
        <w:rPr>
          <w:b/>
          <w:bCs/>
        </w:rPr>
        <w:t>TSC22D2</w:t>
      </w:r>
      <w:r>
        <w:t xml:space="preserve"> y </w:t>
      </w:r>
      <w:r w:rsidRPr="00AF0541">
        <w:rPr>
          <w:b/>
          <w:bCs/>
        </w:rPr>
        <w:t>ABCA1</w:t>
      </w:r>
      <w:r>
        <w:t xml:space="preserve"> (3). </w:t>
      </w:r>
      <w:r w:rsidR="00AA4FDC">
        <w:t xml:space="preserve">En el caso de miRDB, los 5 miRNA tienen como genes diana: </w:t>
      </w:r>
      <w:r w:rsidR="00AA4FDC" w:rsidRPr="00AF0541">
        <w:rPr>
          <w:b/>
          <w:bCs/>
        </w:rPr>
        <w:t>CAMTA1</w:t>
      </w:r>
      <w:r w:rsidR="00AA4FDC">
        <w:t xml:space="preserve">, </w:t>
      </w:r>
      <w:r w:rsidR="00AA4FDC" w:rsidRPr="00AF0541">
        <w:rPr>
          <w:b/>
          <w:bCs/>
        </w:rPr>
        <w:t>RORA</w:t>
      </w:r>
      <w:r w:rsidR="00AA4FDC">
        <w:t xml:space="preserve">, </w:t>
      </w:r>
      <w:r w:rsidR="00AA4FDC" w:rsidRPr="00AF0541">
        <w:rPr>
          <w:b/>
          <w:bCs/>
        </w:rPr>
        <w:t>FAM126B</w:t>
      </w:r>
      <w:r w:rsidR="00AA4FDC">
        <w:t xml:space="preserve">, </w:t>
      </w:r>
      <w:r w:rsidR="00AA4FDC" w:rsidRPr="00AF0541">
        <w:rPr>
          <w:b/>
          <w:bCs/>
        </w:rPr>
        <w:t>ZBTB20</w:t>
      </w:r>
      <w:r w:rsidR="00AF0541">
        <w:t xml:space="preserve"> y </w:t>
      </w:r>
      <w:r w:rsidR="00AF0541" w:rsidRPr="00AF0541">
        <w:rPr>
          <w:b/>
          <w:bCs/>
        </w:rPr>
        <w:t>ABCA1</w:t>
      </w:r>
      <w:r w:rsidR="00AF0541">
        <w:t xml:space="preserve"> de nuevo</w:t>
      </w:r>
      <w:r w:rsidR="00667AD8">
        <w:t xml:space="preserve"> (3).</w:t>
      </w:r>
    </w:p>
    <w:p w14:paraId="1AA0A6C3" w14:textId="77777777" w:rsidR="00AA4FDC" w:rsidRDefault="00AA4FDC" w:rsidP="00415375"/>
    <w:p w14:paraId="600923A0" w14:textId="5092CE40" w:rsidR="00667AD8" w:rsidRDefault="00667AD8" w:rsidP="00415375">
      <w:r>
        <w:t xml:space="preserve">Para ver cada uno de los genes usamos la </w:t>
      </w:r>
      <w:r w:rsidR="00AE5D87">
        <w:t xml:space="preserve">base de datos para proteínas </w:t>
      </w:r>
      <w:r w:rsidR="00AE5D87" w:rsidRPr="00AF0541">
        <w:rPr>
          <w:b/>
          <w:bCs/>
        </w:rPr>
        <w:t>UniProt</w:t>
      </w:r>
      <w:r w:rsidR="00AE5D87">
        <w:t xml:space="preserve"> (4)</w:t>
      </w:r>
      <w:r w:rsidR="00AF0541">
        <w:t>:</w:t>
      </w:r>
    </w:p>
    <w:p w14:paraId="18D9B791" w14:textId="77777777" w:rsidR="00AE5D87" w:rsidRDefault="00AE5D87" w:rsidP="00415375"/>
    <w:p w14:paraId="0E7F2D70" w14:textId="6DC6584C" w:rsidR="00AA4FDC" w:rsidRDefault="00AA4FDC" w:rsidP="00415375">
      <w:r w:rsidRPr="00794569">
        <w:rPr>
          <w:b/>
          <w:bCs/>
        </w:rPr>
        <w:t xml:space="preserve">SCN1A </w:t>
      </w:r>
      <w:r w:rsidR="00062141">
        <w:t>–</w:t>
      </w:r>
      <w:r w:rsidR="00794569">
        <w:t xml:space="preserve"> </w:t>
      </w:r>
      <w:r w:rsidR="00062141">
        <w:t xml:space="preserve">(Proteína del canal de sodio tipo 1 (subunidad alfa)) </w:t>
      </w:r>
      <w:r>
        <w:t>Subunidad del poro Nav 1.1, un canal de voltaje de sodio. Estos canales de voltaje juegan un papel en la propagación del potencial de acción</w:t>
      </w:r>
      <w:r w:rsidR="00AE5D87">
        <w:t xml:space="preserve"> (5)</w:t>
      </w:r>
      <w:r>
        <w:t>.</w:t>
      </w:r>
    </w:p>
    <w:p w14:paraId="3FFEDED4" w14:textId="77777777" w:rsidR="00AA4FDC" w:rsidRDefault="00AA4FDC" w:rsidP="00415375"/>
    <w:p w14:paraId="261B48BF" w14:textId="7ADBDE50" w:rsidR="00AA4FDC" w:rsidRDefault="00AA4FDC" w:rsidP="00415375">
      <w:r w:rsidRPr="00794569">
        <w:rPr>
          <w:b/>
          <w:bCs/>
        </w:rPr>
        <w:t>SNTB2</w:t>
      </w:r>
      <w:r w:rsidRPr="004A4D8E">
        <w:t xml:space="preserve"> </w:t>
      </w:r>
      <w:r w:rsidR="00794569">
        <w:t xml:space="preserve">- </w:t>
      </w:r>
      <w:r w:rsidR="00062141">
        <w:t xml:space="preserve">(Beta-2-Sintropina) </w:t>
      </w:r>
      <w:r w:rsidR="00794569">
        <w:t>Proteína</w:t>
      </w:r>
      <w:r>
        <w:t xml:space="preserve"> adaptadora que se une, y que probablemente organice, una variedad de proteínas de membrana, como el receptor del citoesqueleto de actina y el complejo glicoproteico de distrofina, podría tener un papel en la regulación de gránulos secretores</w:t>
      </w:r>
      <w:r w:rsidR="00AE5D87">
        <w:t xml:space="preserve"> (6)</w:t>
      </w:r>
      <w:r>
        <w:t>.</w:t>
      </w:r>
    </w:p>
    <w:p w14:paraId="7FC29F93" w14:textId="77777777" w:rsidR="00AA4FDC" w:rsidRDefault="00AA4FDC" w:rsidP="00415375"/>
    <w:p w14:paraId="48E5DBD1" w14:textId="56E2E9D5" w:rsidR="00AA4FDC" w:rsidRDefault="00AA4FDC" w:rsidP="00415375">
      <w:r w:rsidRPr="00794569">
        <w:rPr>
          <w:b/>
          <w:bCs/>
        </w:rPr>
        <w:t>KPNA3</w:t>
      </w:r>
      <w:r>
        <w:t xml:space="preserve"> </w:t>
      </w:r>
      <w:r w:rsidR="00062141">
        <w:t>–</w:t>
      </w:r>
      <w:r w:rsidR="00794569">
        <w:t xml:space="preserve"> </w:t>
      </w:r>
      <w:r w:rsidR="00062141">
        <w:t xml:space="preserve">(Importina subunidad 4-alfa) </w:t>
      </w:r>
      <w:r>
        <w:t>Tiene funciones en la importación de proteínas en el núcleo como adaptador del receptor nuclear KPNB1</w:t>
      </w:r>
      <w:r w:rsidR="00AE5D87">
        <w:t xml:space="preserve"> (7)</w:t>
      </w:r>
      <w:r>
        <w:t>.</w:t>
      </w:r>
    </w:p>
    <w:p w14:paraId="352ECD46" w14:textId="77777777" w:rsidR="00AA4FDC" w:rsidRDefault="00AA4FDC" w:rsidP="00415375"/>
    <w:p w14:paraId="29940FC3" w14:textId="2E305CBF" w:rsidR="00AA4FDC" w:rsidRDefault="00AA4FDC" w:rsidP="00415375">
      <w:r w:rsidRPr="00794569">
        <w:rPr>
          <w:b/>
          <w:bCs/>
        </w:rPr>
        <w:t>TSC22D2</w:t>
      </w:r>
      <w:r>
        <w:t xml:space="preserve"> </w:t>
      </w:r>
      <w:r w:rsidR="00415375">
        <w:t>–</w:t>
      </w:r>
      <w:r w:rsidR="00794569">
        <w:t xml:space="preserve"> </w:t>
      </w:r>
      <w:r w:rsidR="00415375">
        <w:t>(</w:t>
      </w:r>
      <w:r w:rsidR="00062141">
        <w:t>Proteína</w:t>
      </w:r>
      <w:r w:rsidR="00415375">
        <w:t xml:space="preserve"> 2 de la familia</w:t>
      </w:r>
      <w:r w:rsidR="00062141">
        <w:t xml:space="preserve"> del dominio</w:t>
      </w:r>
      <w:r w:rsidR="00415375">
        <w:t xml:space="preserve"> TSC22) </w:t>
      </w:r>
      <w:r>
        <w:t>Reduce el nivel de la isoforma nuclear PKM, M2. Lo cual resulta en la represión de la transcripción ciclina CCND1 y reducción del crecimiento celular</w:t>
      </w:r>
      <w:r w:rsidR="00AE5D87">
        <w:t xml:space="preserve"> (8)</w:t>
      </w:r>
      <w:r>
        <w:t>.</w:t>
      </w:r>
    </w:p>
    <w:p w14:paraId="302D6383" w14:textId="77777777" w:rsidR="00AA4FDC" w:rsidRDefault="00AA4FDC" w:rsidP="00415375"/>
    <w:p w14:paraId="7AA95A58" w14:textId="616B0447" w:rsidR="00AA4FDC" w:rsidRDefault="00AA4FDC" w:rsidP="00415375">
      <w:r w:rsidRPr="00794569">
        <w:rPr>
          <w:b/>
          <w:bCs/>
        </w:rPr>
        <w:t>ABCA1</w:t>
      </w:r>
      <w:r w:rsidR="00794569">
        <w:t xml:space="preserve"> </w:t>
      </w:r>
      <w:r w:rsidR="00415375">
        <w:t>–</w:t>
      </w:r>
      <w:r w:rsidR="00794569">
        <w:t xml:space="preserve"> </w:t>
      </w:r>
      <w:r w:rsidR="00415375">
        <w:t xml:space="preserve">(ATPasa transportadora de fosfolípidos ABCA1) </w:t>
      </w:r>
      <w:r>
        <w:t>Cataliza la translocación de fosfolípidos específicos desde el citoplasma al medio extracelular mediante la hidrolisis de ATP. Participa en la transferencia de fosfolípidos a apolipoproteínas para formar lipoproteínas de alta densidad (HDL). Juega un rol similar en la transferencia del colesterol a apolipoproteínas para la formación de HDLs</w:t>
      </w:r>
      <w:r w:rsidR="00AE5D87">
        <w:t xml:space="preserve"> (9)</w:t>
      </w:r>
      <w:r>
        <w:t>.</w:t>
      </w:r>
    </w:p>
    <w:p w14:paraId="24546041" w14:textId="77777777" w:rsidR="00AE5D87" w:rsidRDefault="00AE5D87" w:rsidP="00415375"/>
    <w:p w14:paraId="5487D37D" w14:textId="33EA6176" w:rsidR="00AA4FDC" w:rsidRDefault="00AA4FDC" w:rsidP="00415375">
      <w:r w:rsidRPr="00794569">
        <w:rPr>
          <w:b/>
          <w:bCs/>
        </w:rPr>
        <w:t>CAMTA1</w:t>
      </w:r>
      <w:r w:rsidR="00794569">
        <w:t xml:space="preserve"> </w:t>
      </w:r>
      <w:r w:rsidR="00415375">
        <w:t>–</w:t>
      </w:r>
      <w:r w:rsidR="00794569">
        <w:t xml:space="preserve"> </w:t>
      </w:r>
      <w:r w:rsidR="00415375">
        <w:t>(Activador de transcripción de calmodulina 1</w:t>
      </w:r>
      <w:r>
        <w:t>)</w:t>
      </w:r>
      <w:r w:rsidR="00794569">
        <w:t xml:space="preserve">. </w:t>
      </w:r>
      <w:r>
        <w:t>Un segmento de este gen sufre una deleción en todos los casos de tumores oligodendrogriales</w:t>
      </w:r>
      <w:r w:rsidR="00AE5D87">
        <w:t xml:space="preserve"> (10)</w:t>
      </w:r>
      <w:r>
        <w:t>.</w:t>
      </w:r>
    </w:p>
    <w:p w14:paraId="79C951C0" w14:textId="77777777" w:rsidR="00AA4FDC" w:rsidRDefault="00AA4FDC" w:rsidP="00415375"/>
    <w:p w14:paraId="5B00D1D1" w14:textId="189436F9" w:rsidR="00AA4FDC" w:rsidRPr="00794569" w:rsidRDefault="00AA4FDC" w:rsidP="00415375">
      <w:pPr>
        <w:rPr>
          <w:b/>
          <w:bCs/>
        </w:rPr>
      </w:pPr>
      <w:r w:rsidRPr="00794569">
        <w:rPr>
          <w:b/>
          <w:bCs/>
        </w:rPr>
        <w:lastRenderedPageBreak/>
        <w:t>RORA</w:t>
      </w:r>
      <w:r w:rsidRPr="00794569">
        <w:t xml:space="preserve"> </w:t>
      </w:r>
      <w:r w:rsidR="00415375">
        <w:t>–</w:t>
      </w:r>
      <w:r w:rsidR="00794569">
        <w:rPr>
          <w:b/>
          <w:bCs/>
        </w:rPr>
        <w:t xml:space="preserve"> </w:t>
      </w:r>
      <w:r w:rsidR="00415375" w:rsidRPr="00197C69">
        <w:t>(</w:t>
      </w:r>
      <w:r>
        <w:t>Receptor nuclear</w:t>
      </w:r>
      <w:r w:rsidR="00415375">
        <w:t xml:space="preserve"> ROR-alfa)</w:t>
      </w:r>
      <w:r>
        <w:t xml:space="preserve"> </w:t>
      </w:r>
      <w:r w:rsidR="00415375">
        <w:t xml:space="preserve">Receptor nuclear </w:t>
      </w:r>
      <w:r>
        <w:t>que ADN como monómero al elemento de respuesta ROR. Es un regulador clave en el desarrollo embrionario, diferenciación celular, inmunidad, ritmo circadiano y metabolismo de lípidos, esteroides, xenobióticos y glucosa. Regula los genes involucrados en el metabolismo de apoliproteínas</w:t>
      </w:r>
      <w:r w:rsidR="00AE5D87">
        <w:t xml:space="preserve"> (11)</w:t>
      </w:r>
      <w:r>
        <w:t xml:space="preserve">. </w:t>
      </w:r>
    </w:p>
    <w:p w14:paraId="497E32EA" w14:textId="77777777" w:rsidR="00AA4FDC" w:rsidRDefault="00AA4FDC" w:rsidP="00415375"/>
    <w:p w14:paraId="46590E9B" w14:textId="3771B51B" w:rsidR="00AA4FDC" w:rsidRDefault="00AA4FDC" w:rsidP="00415375">
      <w:r w:rsidRPr="00794569">
        <w:rPr>
          <w:b/>
          <w:bCs/>
        </w:rPr>
        <w:t>FAM126B</w:t>
      </w:r>
      <w:r w:rsidR="00AE5D87" w:rsidRPr="00794569">
        <w:rPr>
          <w:b/>
          <w:bCs/>
        </w:rPr>
        <w:t xml:space="preserve"> (HYCC2)</w:t>
      </w:r>
      <w:r w:rsidR="00794569">
        <w:t xml:space="preserve"> </w:t>
      </w:r>
      <w:r w:rsidR="00415375">
        <w:t>–</w:t>
      </w:r>
      <w:r w:rsidR="00794569">
        <w:t xml:space="preserve"> </w:t>
      </w:r>
      <w:r w:rsidR="00415375">
        <w:t>(</w:t>
      </w:r>
      <w:r w:rsidR="00415375" w:rsidRPr="002B6FEA">
        <w:t>Hyccin 2</w:t>
      </w:r>
      <w:r w:rsidR="00415375">
        <w:t xml:space="preserve">) </w:t>
      </w:r>
      <w:r>
        <w:t>Componente del complejo requerido para localizar fosfatidilionistol 4-quinasa en la membrana plasmática</w:t>
      </w:r>
      <w:r w:rsidR="00AE5D87">
        <w:t xml:space="preserve"> (12)</w:t>
      </w:r>
      <w:r>
        <w:t>.</w:t>
      </w:r>
    </w:p>
    <w:p w14:paraId="61922E31" w14:textId="77777777" w:rsidR="00AA4FDC" w:rsidRDefault="00AA4FDC" w:rsidP="00415375"/>
    <w:p w14:paraId="4DEA08CE" w14:textId="41384457" w:rsidR="00AA4FDC" w:rsidRDefault="00AA4FDC" w:rsidP="00415375">
      <w:r w:rsidRPr="00794569">
        <w:rPr>
          <w:b/>
          <w:bCs/>
        </w:rPr>
        <w:t>ZBTB20</w:t>
      </w:r>
      <w:r>
        <w:t xml:space="preserve"> </w:t>
      </w:r>
      <w:r w:rsidR="00415375">
        <w:t>–</w:t>
      </w:r>
      <w:r w:rsidR="00794569">
        <w:t xml:space="preserve"> </w:t>
      </w:r>
      <w:r w:rsidR="00415375">
        <w:t xml:space="preserve">(Proteína que contiene el dominio BTB y dedo de zinc 20) </w:t>
      </w:r>
      <w:r>
        <w:t xml:space="preserve">Podría ser un factor de transcripción involucrado en la hematopoyesis, oncogénesis y respuesta inmune. </w:t>
      </w:r>
      <w:r w:rsidR="00794569">
        <w:t>Además,</w:t>
      </w:r>
      <w:r>
        <w:t xml:space="preserve"> juega un papel en la miogénesis posnatal</w:t>
      </w:r>
      <w:r w:rsidR="00AE5D87">
        <w:t xml:space="preserve"> (13)</w:t>
      </w:r>
      <w:r>
        <w:t>.</w:t>
      </w:r>
    </w:p>
    <w:p w14:paraId="2660A94B" w14:textId="77777777" w:rsidR="00AA4FDC" w:rsidRDefault="00AA4FDC" w:rsidP="00415375"/>
    <w:p w14:paraId="654B6FA5" w14:textId="0A90C57E" w:rsidR="00AA4FDC" w:rsidRDefault="00AA4FDC" w:rsidP="00415375">
      <w:r>
        <w:t xml:space="preserve">Después buscamos las rutas de señalización de todos los genes encontrados en </w:t>
      </w:r>
      <w:r w:rsidRPr="00415375">
        <w:rPr>
          <w:b/>
          <w:bCs/>
        </w:rPr>
        <w:t>GeneCodis</w:t>
      </w:r>
      <w:r w:rsidR="00AE5D87">
        <w:t xml:space="preserve"> (14)</w:t>
      </w:r>
      <w:r>
        <w:t>.</w:t>
      </w:r>
    </w:p>
    <w:p w14:paraId="15B3C35B" w14:textId="77777777" w:rsidR="00824D10" w:rsidRDefault="00824D10" w:rsidP="00415375">
      <w:pPr>
        <w:keepNext/>
      </w:pPr>
      <w:r>
        <w:rPr>
          <w:noProof/>
        </w:rPr>
        <w:drawing>
          <wp:inline distT="0" distB="0" distL="0" distR="0" wp14:anchorId="7E254530" wp14:editId="0E8BA4C6">
            <wp:extent cx="3489960" cy="2303795"/>
            <wp:effectExtent l="0" t="0" r="0" b="0"/>
            <wp:docPr id="1062244933" name="Imagen 5" descr="Imagen que contiene computadora, computer, luz, oscu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44933" name="Imagen 5" descr="Imagen que contiene computadora, computer, luz, oscuro&#10;&#10;El contenido generado por IA puede ser incorrecto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7" b="11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941" cy="2307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6FF22" w14:textId="64337E48" w:rsidR="00AA4FDC" w:rsidRPr="00824D10" w:rsidRDefault="00824D10" w:rsidP="00415375">
      <w:pPr>
        <w:pStyle w:val="Descripcin"/>
        <w:rPr>
          <w:i w:val="0"/>
          <w:iCs w:val="0"/>
          <w:color w:val="000000" w:themeColor="text1"/>
          <w:sz w:val="22"/>
          <w:szCs w:val="22"/>
        </w:rPr>
      </w:pPr>
      <w:r w:rsidRPr="00824D10">
        <w:rPr>
          <w:i w:val="0"/>
          <w:iCs w:val="0"/>
          <w:color w:val="000000" w:themeColor="text1"/>
          <w:sz w:val="22"/>
          <w:szCs w:val="22"/>
        </w:rPr>
        <w:t>I</w:t>
      </w:r>
      <w:r>
        <w:rPr>
          <w:i w:val="0"/>
          <w:iCs w:val="0"/>
          <w:color w:val="000000" w:themeColor="text1"/>
          <w:sz w:val="22"/>
          <w:szCs w:val="22"/>
        </w:rPr>
        <w:t>magen 2</w:t>
      </w:r>
      <w:r w:rsidRPr="00824D10">
        <w:rPr>
          <w:i w:val="0"/>
          <w:iCs w:val="0"/>
          <w:color w:val="000000" w:themeColor="text1"/>
          <w:sz w:val="22"/>
          <w:szCs w:val="22"/>
        </w:rPr>
        <w:t>: Grafo de relación entre los genes y sus funciones, indicando los genes y las funciones más relevantes para el caso.</w:t>
      </w:r>
    </w:p>
    <w:p w14:paraId="389634A0" w14:textId="77777777" w:rsidR="004B60B1" w:rsidRDefault="004B60B1" w:rsidP="00415375">
      <w:pPr>
        <w:rPr>
          <w:color w:val="000000" w:themeColor="text1"/>
          <w:sz w:val="22"/>
          <w:szCs w:val="22"/>
        </w:rPr>
      </w:pPr>
    </w:p>
    <w:p w14:paraId="743DD65E" w14:textId="25FB6674" w:rsidR="00AA4FDC" w:rsidRDefault="00AA4FDC" w:rsidP="00415375">
      <w:r>
        <w:t>Ambas bases de datos muestran al gen ABCA1 como gen diana de los 5 miRNA reprimidos. Además, usando los genes obtenidos como genes diana de los 5 genes reprimidos, encontramos que sus rutas de señalización se relacionan principalmente con funciones como la homeostasis del colesterol, traslocación de esfingolípidos, regulación de HDL…</w:t>
      </w:r>
    </w:p>
    <w:p w14:paraId="3EE619C7" w14:textId="4E931945" w:rsidR="004B60B1" w:rsidRPr="004B60B1" w:rsidRDefault="004B60B1" w:rsidP="00415375">
      <w:pPr>
        <w:rPr>
          <w:b/>
          <w:bCs/>
          <w:sz w:val="32"/>
          <w:szCs w:val="32"/>
        </w:rPr>
      </w:pPr>
      <w:r w:rsidRPr="004B60B1">
        <w:rPr>
          <w:b/>
          <w:bCs/>
          <w:sz w:val="32"/>
          <w:szCs w:val="32"/>
        </w:rPr>
        <w:lastRenderedPageBreak/>
        <w:t xml:space="preserve">Conclusión </w:t>
      </w:r>
    </w:p>
    <w:p w14:paraId="578FB15B" w14:textId="77777777" w:rsidR="004B60B1" w:rsidRDefault="004B60B1" w:rsidP="00415375"/>
    <w:p w14:paraId="08F49E5B" w14:textId="467FE149" w:rsidR="005467F4" w:rsidRDefault="00AA4FDC" w:rsidP="00415375">
      <w:r>
        <w:t xml:space="preserve">Los genes más implicados en la homeostasis del colesterol </w:t>
      </w:r>
      <w:r w:rsidR="00415375">
        <w:t xml:space="preserve">en este caso </w:t>
      </w:r>
      <w:r>
        <w:t xml:space="preserve">son ABCA1 y RORA. Como ya se ha mencionado antes, ABCA1 está implicado en el metabolismo de colesterol a apolipoproteínas para formar HDL, mientras que RORA se encarga de mediar que el colesterol se encuentre en homeostasis, tanto fuera como dentro del macrófago </w:t>
      </w:r>
      <w:r w:rsidR="00AE5D87">
        <w:t>(15</w:t>
      </w:r>
      <w:r w:rsidR="00D46362">
        <w:t>, 16</w:t>
      </w:r>
      <w:r w:rsidR="00AE5D87">
        <w:t>)</w:t>
      </w:r>
      <w:r>
        <w:t xml:space="preserve">. El gen RORA actúa además como modulador del gen ABCA1 </w:t>
      </w:r>
      <w:r w:rsidR="00AE5D87">
        <w:t>(16)</w:t>
      </w:r>
      <w:r>
        <w:t xml:space="preserve">. Una represión del gen RORA conduciría a un mayor acúmulo de colesterol dentro de los macrófagos </w:t>
      </w:r>
      <w:r w:rsidR="00AE5D87">
        <w:t>(</w:t>
      </w:r>
      <w:r>
        <w:t>1</w:t>
      </w:r>
      <w:r w:rsidR="00AE5D87">
        <w:t>5)</w:t>
      </w:r>
      <w:r>
        <w:t xml:space="preserve">. Sin embargo, esteroides como 7α-hidroxicolesterol, 7β-hidroxicolesterol y 7-ketocolesterol, los cuales son comunes y abundantes en placas de arteriosclerosis actúan como ligandos de alta afinidad de proteínas de RORA, suprimiendo su actividad </w:t>
      </w:r>
      <w:r w:rsidR="00AE5D87">
        <w:t>(17)</w:t>
      </w:r>
      <w:r>
        <w:t xml:space="preserve">. En este caso, con el gen RORA reprimido por otros ligandos, y con el gen ABCA1 sin estar reprimido por los miRNA, el colesterol se acumularía en los macrófagos hasta </w:t>
      </w:r>
      <w:r w:rsidR="004B60B1">
        <w:t xml:space="preserve">su </w:t>
      </w:r>
      <w:r>
        <w:t>m</w:t>
      </w:r>
      <w:r w:rsidR="004B60B1">
        <w:t>uerte</w:t>
      </w:r>
      <w:r>
        <w:t>.</w:t>
      </w:r>
    </w:p>
    <w:p w14:paraId="757F6EA9" w14:textId="2A7CFBD6" w:rsidR="00667AD8" w:rsidRDefault="00667AD8">
      <w:pPr>
        <w:spacing w:after="160" w:line="259" w:lineRule="auto"/>
        <w:jc w:val="left"/>
      </w:pPr>
      <w:r>
        <w:br w:type="page"/>
      </w:r>
    </w:p>
    <w:p w14:paraId="17D61065" w14:textId="52E8A0B8" w:rsidR="002B6FEA" w:rsidRPr="00667AD8" w:rsidRDefault="00667AD8" w:rsidP="005467F4">
      <w:pPr>
        <w:rPr>
          <w:b/>
          <w:bCs/>
          <w:sz w:val="32"/>
          <w:szCs w:val="32"/>
        </w:rPr>
      </w:pPr>
      <w:r w:rsidRPr="00667AD8">
        <w:rPr>
          <w:b/>
          <w:bCs/>
          <w:sz w:val="32"/>
          <w:szCs w:val="32"/>
        </w:rPr>
        <w:lastRenderedPageBreak/>
        <w:t xml:space="preserve">Bibliografía </w:t>
      </w:r>
    </w:p>
    <w:p w14:paraId="663540AE" w14:textId="77777777" w:rsidR="00667AD8" w:rsidRDefault="00667AD8" w:rsidP="00D47EEA"/>
    <w:p w14:paraId="79417B99" w14:textId="65F28766" w:rsidR="000069CF" w:rsidRDefault="00667AD8" w:rsidP="00D47EEA">
      <w:r>
        <w:t xml:space="preserve">[1] </w:t>
      </w:r>
      <w:r w:rsidR="000069CF" w:rsidRPr="000069CF">
        <w:t>TargetScanHuman 8.0 [Internet]. [</w:t>
      </w:r>
      <w:r w:rsidR="000069CF">
        <w:t>citado</w:t>
      </w:r>
      <w:r w:rsidR="000069CF" w:rsidRPr="000069CF">
        <w:t xml:space="preserve"> 2025 </w:t>
      </w:r>
      <w:r w:rsidR="00D47EEA">
        <w:t>n</w:t>
      </w:r>
      <w:r w:rsidR="000069CF" w:rsidRPr="000069CF">
        <w:t xml:space="preserve">ov 2]. </w:t>
      </w:r>
      <w:r w:rsidR="00D47EEA">
        <w:t>Disponible en</w:t>
      </w:r>
      <w:r w:rsidR="000069CF" w:rsidRPr="000069CF">
        <w:t xml:space="preserve">: </w:t>
      </w:r>
      <w:hyperlink r:id="rId13" w:history="1">
        <w:r w:rsidR="00D47EEA" w:rsidRPr="000069CF">
          <w:rPr>
            <w:rStyle w:val="Hipervnculo"/>
          </w:rPr>
          <w:t>https://www.targetscan.org/vert_80/</w:t>
        </w:r>
      </w:hyperlink>
    </w:p>
    <w:p w14:paraId="55970A72" w14:textId="73A73A91" w:rsidR="00D47EEA" w:rsidRPr="00D47EEA" w:rsidRDefault="00D47EEA" w:rsidP="00D47EEA"/>
    <w:p w14:paraId="1E78AABB" w14:textId="645584D5" w:rsidR="00D47EEA" w:rsidRDefault="00667AD8" w:rsidP="00D47EEA">
      <w:r>
        <w:t xml:space="preserve">[2] </w:t>
      </w:r>
      <w:r w:rsidR="00D47EEA" w:rsidRPr="00D47EEA">
        <w:t xml:space="preserve">miRDB [Internet]. </w:t>
      </w:r>
      <w:r w:rsidR="00D47EEA" w:rsidRPr="000069CF">
        <w:t>[</w:t>
      </w:r>
      <w:r w:rsidR="00D47EEA">
        <w:t>citado</w:t>
      </w:r>
      <w:r w:rsidR="00D47EEA" w:rsidRPr="000069CF">
        <w:t xml:space="preserve"> 2025 </w:t>
      </w:r>
      <w:r w:rsidR="00D47EEA">
        <w:t>n</w:t>
      </w:r>
      <w:r w:rsidR="00D47EEA" w:rsidRPr="000069CF">
        <w:t xml:space="preserve">ov 2]. </w:t>
      </w:r>
      <w:r w:rsidR="00D47EEA">
        <w:t>Disponible en</w:t>
      </w:r>
      <w:r w:rsidR="00D47EEA" w:rsidRPr="00D47EEA">
        <w:t xml:space="preserve">: </w:t>
      </w:r>
      <w:hyperlink r:id="rId14" w:history="1">
        <w:r w:rsidR="00D47EEA" w:rsidRPr="00D47EEA">
          <w:rPr>
            <w:rStyle w:val="Hipervnculo"/>
          </w:rPr>
          <w:t>https://mirdb.org/mirdb/index.html</w:t>
        </w:r>
      </w:hyperlink>
    </w:p>
    <w:p w14:paraId="121F1980" w14:textId="77777777" w:rsidR="00D47EEA" w:rsidRDefault="00D47EEA" w:rsidP="00D47EEA"/>
    <w:p w14:paraId="4E21EF55" w14:textId="20D9B54F" w:rsidR="00D47EEA" w:rsidRDefault="00667AD8" w:rsidP="00D47EEA">
      <w:r>
        <w:t xml:space="preserve">[3] </w:t>
      </w:r>
      <w:r w:rsidR="00AA4FDC">
        <w:t>Draw Venn Diagram</w:t>
      </w:r>
      <w:r w:rsidR="00D47EEA">
        <w:t xml:space="preserve"> [Internet]. </w:t>
      </w:r>
      <w:r w:rsidR="00D47EEA" w:rsidRPr="000069CF">
        <w:t>[</w:t>
      </w:r>
      <w:r w:rsidR="00D47EEA">
        <w:t>citado</w:t>
      </w:r>
      <w:r w:rsidR="00D47EEA" w:rsidRPr="000069CF">
        <w:t xml:space="preserve"> 2025 </w:t>
      </w:r>
      <w:r w:rsidR="00D47EEA">
        <w:t>n</w:t>
      </w:r>
      <w:r w:rsidR="00D47EEA" w:rsidRPr="000069CF">
        <w:t xml:space="preserve">ov 2]. </w:t>
      </w:r>
      <w:r w:rsidR="00D47EEA">
        <w:t>Disponible en</w:t>
      </w:r>
      <w:r w:rsidR="00D47EEA" w:rsidRPr="00D47EEA">
        <w:t xml:space="preserve">: </w:t>
      </w:r>
      <w:r w:rsidR="00D47EEA">
        <w:t xml:space="preserve"> </w:t>
      </w:r>
      <w:hyperlink r:id="rId15" w:history="1">
        <w:r w:rsidR="00D47EEA" w:rsidRPr="007F2937">
          <w:rPr>
            <w:rStyle w:val="Hipervnculo"/>
          </w:rPr>
          <w:t>https://bioinformatics.psb.ugent.be/webtools/Venn/</w:t>
        </w:r>
      </w:hyperlink>
      <w:r w:rsidR="00D47EEA">
        <w:t xml:space="preserve"> </w:t>
      </w:r>
    </w:p>
    <w:p w14:paraId="3E063821" w14:textId="2BBE6458" w:rsidR="00AA4FDC" w:rsidRPr="00AA4FDC" w:rsidRDefault="00AA4FDC" w:rsidP="00AA4FDC"/>
    <w:p w14:paraId="728758D5" w14:textId="663A3D28" w:rsidR="002530F8" w:rsidRDefault="00667AD8" w:rsidP="002530F8">
      <w:r>
        <w:t xml:space="preserve">[4] </w:t>
      </w:r>
      <w:r w:rsidR="00AA4FDC" w:rsidRPr="00AA4FDC">
        <w:t xml:space="preserve">UniProt [Internet]. </w:t>
      </w:r>
      <w:r w:rsidR="00AA4FDC" w:rsidRPr="000069CF">
        <w:t>[</w:t>
      </w:r>
      <w:r w:rsidR="00AA4FDC">
        <w:t>citado</w:t>
      </w:r>
      <w:r w:rsidR="00AA4FDC" w:rsidRPr="000069CF">
        <w:t xml:space="preserve"> 2025 </w:t>
      </w:r>
      <w:r w:rsidR="00AA4FDC">
        <w:t>n</w:t>
      </w:r>
      <w:r w:rsidR="00AA4FDC" w:rsidRPr="000069CF">
        <w:t xml:space="preserve">ov 2]. </w:t>
      </w:r>
      <w:r w:rsidR="00AA4FDC">
        <w:t>Disponible en</w:t>
      </w:r>
      <w:r w:rsidR="00AA4FDC" w:rsidRPr="00D47EEA">
        <w:t xml:space="preserve">: </w:t>
      </w:r>
      <w:r w:rsidR="00AA4FDC">
        <w:t xml:space="preserve"> </w:t>
      </w:r>
      <w:hyperlink r:id="rId16" w:history="1">
        <w:r w:rsidR="00AA4FDC" w:rsidRPr="00AA4FDC">
          <w:rPr>
            <w:rStyle w:val="Hipervnculo"/>
          </w:rPr>
          <w:t>https://www.uniprot.org/</w:t>
        </w:r>
      </w:hyperlink>
      <w:r w:rsidR="00AA4FDC">
        <w:t xml:space="preserve"> </w:t>
      </w:r>
    </w:p>
    <w:p w14:paraId="05EB46FA" w14:textId="77777777" w:rsidR="00667AD8" w:rsidRPr="002530F8" w:rsidRDefault="00667AD8" w:rsidP="002530F8"/>
    <w:p w14:paraId="4D67C90E" w14:textId="225F2BC3" w:rsidR="002530F8" w:rsidRPr="002530F8" w:rsidRDefault="00667AD8" w:rsidP="002530F8">
      <w:r>
        <w:t xml:space="preserve">[5] </w:t>
      </w:r>
      <w:r w:rsidR="002530F8" w:rsidRPr="002530F8">
        <w:t xml:space="preserve">SCN1A - Sodium channel protein type 1 subunit alpha - Homo sapiens (Human) | UniProtKB | UniProt [Internet]. </w:t>
      </w:r>
      <w:r w:rsidR="002530F8" w:rsidRPr="000069CF">
        <w:t>[</w:t>
      </w:r>
      <w:r w:rsidR="002530F8">
        <w:t>citado</w:t>
      </w:r>
      <w:r w:rsidR="002530F8" w:rsidRPr="000069CF">
        <w:t xml:space="preserve"> 2025 </w:t>
      </w:r>
      <w:r w:rsidR="002530F8">
        <w:t>n</w:t>
      </w:r>
      <w:r w:rsidR="002530F8" w:rsidRPr="000069CF">
        <w:t xml:space="preserve">ov 2]. </w:t>
      </w:r>
      <w:r w:rsidR="002530F8">
        <w:t>Disponible en</w:t>
      </w:r>
      <w:r w:rsidR="002530F8" w:rsidRPr="00D47EEA">
        <w:t xml:space="preserve">: </w:t>
      </w:r>
      <w:r w:rsidR="002530F8">
        <w:t xml:space="preserve"> </w:t>
      </w:r>
      <w:hyperlink r:id="rId17" w:history="1">
        <w:r w:rsidR="002530F8" w:rsidRPr="002530F8">
          <w:rPr>
            <w:rStyle w:val="Hipervnculo"/>
          </w:rPr>
          <w:t>https://www.uniprot.org/uniprotkb/P35498/entry</w:t>
        </w:r>
      </w:hyperlink>
      <w:r w:rsidR="002530F8">
        <w:t xml:space="preserve"> </w:t>
      </w:r>
    </w:p>
    <w:p w14:paraId="11B0C597" w14:textId="07B7F9D2" w:rsidR="002530F8" w:rsidRPr="002530F8" w:rsidRDefault="002530F8" w:rsidP="002530F8"/>
    <w:p w14:paraId="4598E2A2" w14:textId="3C1C09F4" w:rsidR="002530F8" w:rsidRPr="002530F8" w:rsidRDefault="00667AD8" w:rsidP="002530F8">
      <w:r>
        <w:t xml:space="preserve">[6] </w:t>
      </w:r>
      <w:r w:rsidR="002530F8" w:rsidRPr="002530F8">
        <w:t xml:space="preserve">SNTB2 - Beta-2-syntrophin - Homo sapiens (Human) | UniProtKB | UniProt [Internet]. </w:t>
      </w:r>
      <w:r w:rsidR="002530F8" w:rsidRPr="000069CF">
        <w:t>[</w:t>
      </w:r>
      <w:r w:rsidR="002530F8">
        <w:t>citado</w:t>
      </w:r>
      <w:r w:rsidR="002530F8" w:rsidRPr="000069CF">
        <w:t xml:space="preserve"> 2025 </w:t>
      </w:r>
      <w:r w:rsidR="002530F8">
        <w:t>n</w:t>
      </w:r>
      <w:r w:rsidR="002530F8" w:rsidRPr="000069CF">
        <w:t xml:space="preserve">ov 2]. </w:t>
      </w:r>
      <w:r w:rsidR="002530F8">
        <w:t>Disponible en</w:t>
      </w:r>
      <w:r w:rsidR="002530F8" w:rsidRPr="00D47EEA">
        <w:t xml:space="preserve">: </w:t>
      </w:r>
      <w:r w:rsidR="002530F8">
        <w:t xml:space="preserve"> </w:t>
      </w:r>
      <w:hyperlink r:id="rId18" w:history="1">
        <w:r w:rsidR="002530F8" w:rsidRPr="002530F8">
          <w:rPr>
            <w:rStyle w:val="Hipervnculo"/>
          </w:rPr>
          <w:t>https://www.uniprot.org/uniprotkb/Q13425/entry</w:t>
        </w:r>
      </w:hyperlink>
      <w:r w:rsidR="002530F8">
        <w:t xml:space="preserve"> </w:t>
      </w:r>
    </w:p>
    <w:p w14:paraId="34B9910A" w14:textId="6E1AABFB" w:rsidR="002B6FEA" w:rsidRPr="002B6FEA" w:rsidRDefault="002B6FEA" w:rsidP="002B6FEA"/>
    <w:p w14:paraId="4DFDFF6E" w14:textId="3D467753" w:rsidR="002B6FEA" w:rsidRPr="002B6FEA" w:rsidRDefault="00667AD8" w:rsidP="002B6FEA">
      <w:r>
        <w:t xml:space="preserve">[7] </w:t>
      </w:r>
      <w:r w:rsidR="002B6FEA" w:rsidRPr="002B6FEA">
        <w:t xml:space="preserve">KPNA3 - Importin subunit alpha-4 - Homo sapiens (Human) | UniProtKB | UniProt. </w:t>
      </w:r>
      <w:r w:rsidR="002B6FEA" w:rsidRPr="000069CF">
        <w:t>[</w:t>
      </w:r>
      <w:r w:rsidR="002B6FEA">
        <w:t>citado</w:t>
      </w:r>
      <w:r w:rsidR="002B6FEA" w:rsidRPr="000069CF">
        <w:t xml:space="preserve"> 2025 </w:t>
      </w:r>
      <w:r w:rsidR="002B6FEA">
        <w:t>n</w:t>
      </w:r>
      <w:r w:rsidR="002B6FEA" w:rsidRPr="000069CF">
        <w:t xml:space="preserve">ov 2]. </w:t>
      </w:r>
      <w:r w:rsidR="002B6FEA">
        <w:t>Disponible en</w:t>
      </w:r>
      <w:r w:rsidR="002B6FEA" w:rsidRPr="00D47EEA">
        <w:t>:</w:t>
      </w:r>
      <w:r w:rsidR="002B6FEA">
        <w:t xml:space="preserve"> </w:t>
      </w:r>
      <w:hyperlink r:id="rId19" w:history="1">
        <w:r w:rsidR="002B6FEA" w:rsidRPr="002B6FEA">
          <w:rPr>
            <w:rStyle w:val="Hipervnculo"/>
          </w:rPr>
          <w:t>https://www.uniprot.org/uniprotkb/O00505/entry</w:t>
        </w:r>
      </w:hyperlink>
      <w:r w:rsidR="002B6FEA">
        <w:t xml:space="preserve"> </w:t>
      </w:r>
    </w:p>
    <w:p w14:paraId="0804083F" w14:textId="1F52B6DA" w:rsidR="002B6FEA" w:rsidRPr="002B6FEA" w:rsidRDefault="002B6FEA" w:rsidP="002B6FEA"/>
    <w:p w14:paraId="7F2C7B53" w14:textId="3F346F95" w:rsidR="002B6FEA" w:rsidRDefault="00667AD8" w:rsidP="002B6FEA">
      <w:r>
        <w:t xml:space="preserve">[8] </w:t>
      </w:r>
      <w:r w:rsidR="002B6FEA" w:rsidRPr="002B6FEA">
        <w:t xml:space="preserve">TSC22D2 - TSC22 domain family protein 2 - Homo sapiens (Human) | UniProtKB | UniProt [Internet]. </w:t>
      </w:r>
      <w:r w:rsidR="002B6FEA" w:rsidRPr="000069CF">
        <w:t>[</w:t>
      </w:r>
      <w:r w:rsidR="002B6FEA">
        <w:t>citado</w:t>
      </w:r>
      <w:r w:rsidR="002B6FEA" w:rsidRPr="000069CF">
        <w:t xml:space="preserve"> 2025 </w:t>
      </w:r>
      <w:r w:rsidR="002B6FEA">
        <w:t>n</w:t>
      </w:r>
      <w:r w:rsidR="002B6FEA" w:rsidRPr="000069CF">
        <w:t xml:space="preserve">ov 2]. </w:t>
      </w:r>
      <w:r w:rsidR="002B6FEA">
        <w:t>Disponible en</w:t>
      </w:r>
      <w:r w:rsidR="002B6FEA" w:rsidRPr="00D47EEA">
        <w:t>:</w:t>
      </w:r>
      <w:r w:rsidR="002B6FEA">
        <w:t xml:space="preserve"> </w:t>
      </w:r>
      <w:hyperlink r:id="rId20" w:history="1">
        <w:r w:rsidR="002B6FEA" w:rsidRPr="002B6FEA">
          <w:rPr>
            <w:rStyle w:val="Hipervnculo"/>
          </w:rPr>
          <w:t>https://www.uniprot.org/uniprotkb/O75157/entry</w:t>
        </w:r>
      </w:hyperlink>
      <w:r w:rsidR="002B6FEA">
        <w:t xml:space="preserve"> </w:t>
      </w:r>
    </w:p>
    <w:p w14:paraId="563B81F9" w14:textId="77777777" w:rsidR="00667AD8" w:rsidRPr="002B6FEA" w:rsidRDefault="00667AD8" w:rsidP="002B6FEA"/>
    <w:p w14:paraId="6884146A" w14:textId="6761EF16" w:rsidR="002B6FEA" w:rsidRPr="002B6FEA" w:rsidRDefault="00667AD8" w:rsidP="002B6FEA">
      <w:r>
        <w:lastRenderedPageBreak/>
        <w:t xml:space="preserve">[9] </w:t>
      </w:r>
      <w:r w:rsidR="002B6FEA" w:rsidRPr="002B6FEA">
        <w:t xml:space="preserve">ABCA1 - Phospholipid-transporting ATPase ABCA1 - Homo sapiens (Human) | UniProtKB | UniProt [Internet]. </w:t>
      </w:r>
      <w:r w:rsidR="002B6FEA" w:rsidRPr="000069CF">
        <w:t>[</w:t>
      </w:r>
      <w:r w:rsidR="002B6FEA">
        <w:t>citado</w:t>
      </w:r>
      <w:r w:rsidR="002B6FEA" w:rsidRPr="000069CF">
        <w:t xml:space="preserve"> 2025 </w:t>
      </w:r>
      <w:r w:rsidR="002B6FEA">
        <w:t>n</w:t>
      </w:r>
      <w:r w:rsidR="002B6FEA" w:rsidRPr="000069CF">
        <w:t xml:space="preserve">ov 2]. </w:t>
      </w:r>
      <w:r w:rsidR="002B6FEA">
        <w:t>Disponible en</w:t>
      </w:r>
      <w:r w:rsidR="002B6FEA" w:rsidRPr="00D47EEA">
        <w:t>:</w:t>
      </w:r>
      <w:r w:rsidR="002B6FEA">
        <w:t xml:space="preserve"> </w:t>
      </w:r>
      <w:hyperlink r:id="rId21" w:history="1">
        <w:r w:rsidR="002B6FEA" w:rsidRPr="002B6FEA">
          <w:rPr>
            <w:rStyle w:val="Hipervnculo"/>
          </w:rPr>
          <w:t>https://www.uniprot.org/uniprotkb/O95477/entry</w:t>
        </w:r>
      </w:hyperlink>
      <w:r w:rsidR="002B6FEA">
        <w:t xml:space="preserve"> </w:t>
      </w:r>
    </w:p>
    <w:p w14:paraId="34B64B60" w14:textId="24B3DD71" w:rsidR="002B6FEA" w:rsidRPr="002B6FEA" w:rsidRDefault="002B6FEA" w:rsidP="002B6FEA"/>
    <w:p w14:paraId="50767725" w14:textId="43712777" w:rsidR="002B6FEA" w:rsidRPr="002B6FEA" w:rsidRDefault="00667AD8" w:rsidP="002B6FEA">
      <w:r>
        <w:t xml:space="preserve">[10] </w:t>
      </w:r>
      <w:r w:rsidR="002B6FEA" w:rsidRPr="002B6FEA">
        <w:t xml:space="preserve">CAMTA1 - Calmodulin-binding transcription activator 1 - Homo sapiens (Human) | UniProtKB | UniProt [Internet]. </w:t>
      </w:r>
      <w:r w:rsidR="002B6FEA" w:rsidRPr="000069CF">
        <w:t>[</w:t>
      </w:r>
      <w:r w:rsidR="002B6FEA">
        <w:t>citado</w:t>
      </w:r>
      <w:r w:rsidR="002B6FEA" w:rsidRPr="000069CF">
        <w:t xml:space="preserve"> 2025 </w:t>
      </w:r>
      <w:r w:rsidR="002B6FEA">
        <w:t>n</w:t>
      </w:r>
      <w:r w:rsidR="002B6FEA" w:rsidRPr="000069CF">
        <w:t xml:space="preserve">ov 2]. </w:t>
      </w:r>
      <w:r w:rsidR="002B6FEA">
        <w:t>Disponible en</w:t>
      </w:r>
      <w:r w:rsidR="002B6FEA" w:rsidRPr="00D47EEA">
        <w:t>:</w:t>
      </w:r>
      <w:r w:rsidR="002B6FEA">
        <w:t xml:space="preserve"> </w:t>
      </w:r>
      <w:hyperlink r:id="rId22" w:history="1">
        <w:r w:rsidR="002B6FEA" w:rsidRPr="002B6FEA">
          <w:rPr>
            <w:rStyle w:val="Hipervnculo"/>
          </w:rPr>
          <w:t>https://www.uniprot.org/uniprotkb/Q9Y6Y1/entry</w:t>
        </w:r>
      </w:hyperlink>
      <w:r w:rsidR="002B6FEA">
        <w:t xml:space="preserve"> </w:t>
      </w:r>
    </w:p>
    <w:p w14:paraId="29A9C78A" w14:textId="16EEF773" w:rsidR="002B6FEA" w:rsidRPr="002B6FEA" w:rsidRDefault="002B6FEA" w:rsidP="002B6FEA"/>
    <w:p w14:paraId="7158B8E5" w14:textId="6FE70C4E" w:rsidR="002B6FEA" w:rsidRPr="002B6FEA" w:rsidRDefault="00667AD8" w:rsidP="002B6FEA">
      <w:r>
        <w:t xml:space="preserve">[11] </w:t>
      </w:r>
      <w:r w:rsidR="002B6FEA" w:rsidRPr="002B6FEA">
        <w:t xml:space="preserve">RORA - Nuclear receptor ROR-alpha - Homo sapiens (Human) | UniProtKB | UniProt [Internet]. </w:t>
      </w:r>
      <w:r w:rsidR="002B6FEA" w:rsidRPr="000069CF">
        <w:t>[</w:t>
      </w:r>
      <w:r w:rsidR="002B6FEA">
        <w:t>citado</w:t>
      </w:r>
      <w:r w:rsidR="002B6FEA" w:rsidRPr="000069CF">
        <w:t xml:space="preserve"> 2025 </w:t>
      </w:r>
      <w:r w:rsidR="002B6FEA">
        <w:t>n</w:t>
      </w:r>
      <w:r w:rsidR="002B6FEA" w:rsidRPr="000069CF">
        <w:t xml:space="preserve">ov 2]. </w:t>
      </w:r>
      <w:r w:rsidR="002B6FEA">
        <w:t>Disponible en</w:t>
      </w:r>
      <w:r w:rsidR="002B6FEA" w:rsidRPr="00D47EEA">
        <w:t>:</w:t>
      </w:r>
      <w:r w:rsidR="002B6FEA">
        <w:t xml:space="preserve"> </w:t>
      </w:r>
      <w:hyperlink r:id="rId23" w:history="1">
        <w:r w:rsidR="002B6FEA" w:rsidRPr="002B6FEA">
          <w:rPr>
            <w:rStyle w:val="Hipervnculo"/>
          </w:rPr>
          <w:t>https://www.uniprot.org/uniprotkb/P35398/entry</w:t>
        </w:r>
      </w:hyperlink>
      <w:r w:rsidR="002B6FEA">
        <w:t xml:space="preserve"> </w:t>
      </w:r>
    </w:p>
    <w:p w14:paraId="5557BBF8" w14:textId="007567C8" w:rsidR="002B6FEA" w:rsidRPr="002B6FEA" w:rsidRDefault="002B6FEA" w:rsidP="002B6FEA"/>
    <w:p w14:paraId="21D305AB" w14:textId="373014A3" w:rsidR="002B6FEA" w:rsidRPr="002B6FEA" w:rsidRDefault="00667AD8" w:rsidP="002B6FEA">
      <w:r>
        <w:t xml:space="preserve">[12] </w:t>
      </w:r>
      <w:r w:rsidR="002B6FEA" w:rsidRPr="002B6FEA">
        <w:t xml:space="preserve">HYCC2 - Hyccin 2 - Homo sapiens (Human) | UniProtKB | UniProt [Internet]. </w:t>
      </w:r>
      <w:r w:rsidR="002B6FEA" w:rsidRPr="000069CF">
        <w:t>[</w:t>
      </w:r>
      <w:r w:rsidR="002B6FEA">
        <w:t>citado</w:t>
      </w:r>
      <w:r w:rsidR="002B6FEA" w:rsidRPr="000069CF">
        <w:t xml:space="preserve"> 2025 </w:t>
      </w:r>
      <w:r w:rsidR="002B6FEA">
        <w:t>n</w:t>
      </w:r>
      <w:r w:rsidR="002B6FEA" w:rsidRPr="000069CF">
        <w:t xml:space="preserve">ov 2]. </w:t>
      </w:r>
      <w:r w:rsidR="002B6FEA">
        <w:t>Disponible en</w:t>
      </w:r>
      <w:r w:rsidR="002B6FEA" w:rsidRPr="00D47EEA">
        <w:t>:</w:t>
      </w:r>
      <w:r w:rsidR="002B6FEA">
        <w:t xml:space="preserve"> </w:t>
      </w:r>
      <w:r w:rsidR="002B6FEA" w:rsidRPr="002B6FEA">
        <w:t xml:space="preserve"> </w:t>
      </w:r>
      <w:hyperlink r:id="rId24" w:history="1">
        <w:r w:rsidR="002B6FEA" w:rsidRPr="002B6FEA">
          <w:rPr>
            <w:rStyle w:val="Hipervnculo"/>
          </w:rPr>
          <w:t>https://www.uniprot.org/uniprotkb/Q8IXS8/entry</w:t>
        </w:r>
      </w:hyperlink>
      <w:r w:rsidR="002B6FEA">
        <w:t xml:space="preserve"> </w:t>
      </w:r>
    </w:p>
    <w:p w14:paraId="48E923CC" w14:textId="3D8F51EA" w:rsidR="002B6FEA" w:rsidRPr="002B6FEA" w:rsidRDefault="002B6FEA" w:rsidP="002B6FEA"/>
    <w:p w14:paraId="330F1D54" w14:textId="052B216A" w:rsidR="002B6FEA" w:rsidRPr="002B6FEA" w:rsidRDefault="00667AD8" w:rsidP="002B6FEA">
      <w:r>
        <w:t xml:space="preserve">[13] </w:t>
      </w:r>
      <w:r w:rsidR="002B6FEA" w:rsidRPr="002B6FEA">
        <w:t xml:space="preserve">ZBTB20 - Zinc finger and BTB domain-containing protein 20 - Homo sapiens (Human) | UniProtKB | UniProt [Internet]. </w:t>
      </w:r>
      <w:r w:rsidR="002B6FEA" w:rsidRPr="000069CF">
        <w:t>[</w:t>
      </w:r>
      <w:r w:rsidR="002B6FEA">
        <w:t>citado</w:t>
      </w:r>
      <w:r w:rsidR="002B6FEA" w:rsidRPr="000069CF">
        <w:t xml:space="preserve"> 2025 </w:t>
      </w:r>
      <w:r w:rsidR="002B6FEA">
        <w:t>n</w:t>
      </w:r>
      <w:r w:rsidR="002B6FEA" w:rsidRPr="000069CF">
        <w:t xml:space="preserve">ov 2]. </w:t>
      </w:r>
      <w:r w:rsidR="002B6FEA">
        <w:t>Disponible en</w:t>
      </w:r>
      <w:r w:rsidR="002B6FEA" w:rsidRPr="00D47EEA">
        <w:t>:</w:t>
      </w:r>
      <w:r w:rsidR="002B6FEA">
        <w:t xml:space="preserve"> </w:t>
      </w:r>
      <w:hyperlink r:id="rId25" w:history="1">
        <w:r w:rsidR="002B6FEA" w:rsidRPr="002B6FEA">
          <w:rPr>
            <w:rStyle w:val="Hipervnculo"/>
          </w:rPr>
          <w:t>https://www.uniprot.org/uniprotkb/Q9HC78/entry</w:t>
        </w:r>
      </w:hyperlink>
      <w:r w:rsidR="002B6FEA">
        <w:t xml:space="preserve"> </w:t>
      </w:r>
    </w:p>
    <w:p w14:paraId="602152DD" w14:textId="370F492D" w:rsidR="00667AD8" w:rsidRPr="00667AD8" w:rsidRDefault="00667AD8" w:rsidP="00667AD8"/>
    <w:p w14:paraId="7974E4BD" w14:textId="5BF2721E" w:rsidR="00667AD8" w:rsidRPr="00667AD8" w:rsidRDefault="00667AD8" w:rsidP="00667AD8">
      <w:r>
        <w:t xml:space="preserve">[14] </w:t>
      </w:r>
      <w:r w:rsidRPr="00667AD8">
        <w:t xml:space="preserve">GeneCodis 4 [Internet]. </w:t>
      </w:r>
      <w:r w:rsidRPr="000069CF">
        <w:t>[</w:t>
      </w:r>
      <w:r>
        <w:t>citado</w:t>
      </w:r>
      <w:r w:rsidRPr="000069CF">
        <w:t xml:space="preserve"> 2025 </w:t>
      </w:r>
      <w:r>
        <w:t>n</w:t>
      </w:r>
      <w:r w:rsidRPr="000069CF">
        <w:t xml:space="preserve">ov 2]. </w:t>
      </w:r>
      <w:r>
        <w:t>Disponible en</w:t>
      </w:r>
      <w:r w:rsidRPr="00667AD8">
        <w:t xml:space="preserve">: </w:t>
      </w:r>
      <w:hyperlink r:id="rId26" w:history="1">
        <w:r w:rsidR="00794569" w:rsidRPr="0050104F">
          <w:rPr>
            <w:rStyle w:val="Hipervnculo"/>
          </w:rPr>
          <w:t>https://genecodis.genyo.es/gc4/analysisResults?job=1q7vzHi5zeOZYQ</w:t>
        </w:r>
      </w:hyperlink>
      <w:r w:rsidR="00794569">
        <w:t xml:space="preserve"> </w:t>
      </w:r>
    </w:p>
    <w:p w14:paraId="7D4C62C4" w14:textId="3AE3B68D" w:rsidR="00667AD8" w:rsidRPr="00667AD8" w:rsidRDefault="00667AD8" w:rsidP="00667AD8"/>
    <w:p w14:paraId="7675F44F" w14:textId="48EC5D77" w:rsidR="00667AD8" w:rsidRPr="00667AD8" w:rsidRDefault="00667AD8" w:rsidP="00667AD8">
      <w:r>
        <w:t xml:space="preserve">[15] </w:t>
      </w:r>
      <w:r w:rsidRPr="00667AD8">
        <w:t xml:space="preserve">Tuong ZK, Lau P, Du X, Condon ND, Goode JM, Oh TG, et al. RORα and 25-hydroxycholesterol crosstalk regulates lipid droplet homeostasis in macrophages. PLoS ONE. 2016 </w:t>
      </w:r>
      <w:r>
        <w:t>ene</w:t>
      </w:r>
      <w:r w:rsidRPr="00667AD8">
        <w:t xml:space="preserve"> 1;11(1).</w:t>
      </w:r>
    </w:p>
    <w:p w14:paraId="71572145" w14:textId="2A7B248C" w:rsidR="00667AD8" w:rsidRPr="00667AD8" w:rsidRDefault="00667AD8" w:rsidP="00667AD8"/>
    <w:p w14:paraId="36A43E17" w14:textId="7456BE44" w:rsidR="00667AD8" w:rsidRPr="00667AD8" w:rsidRDefault="00667AD8" w:rsidP="00667AD8">
      <w:r>
        <w:t xml:space="preserve">[16] </w:t>
      </w:r>
      <w:r w:rsidRPr="00667AD8">
        <w:t xml:space="preserve">Coban N, Gulec C, Ozsait-Selcuk B, Erginel-Unaltuna N. CYP19A1, MIF and ABCA1 genes are targets of the RORα in monocyte and endothelial cells. Cell Biology International. 2017 </w:t>
      </w:r>
      <w:r>
        <w:t>f</w:t>
      </w:r>
      <w:r w:rsidRPr="00667AD8">
        <w:t>eb 1;41(2):163–76.</w:t>
      </w:r>
    </w:p>
    <w:p w14:paraId="02061BBE" w14:textId="0759BCD3" w:rsidR="00667AD8" w:rsidRPr="00667AD8" w:rsidRDefault="00667AD8" w:rsidP="00667AD8"/>
    <w:p w14:paraId="3F62E8FE" w14:textId="57FE1D4E" w:rsidR="00667AD8" w:rsidRPr="00667AD8" w:rsidRDefault="00667AD8" w:rsidP="00667AD8">
      <w:r>
        <w:lastRenderedPageBreak/>
        <w:t xml:space="preserve">[17] </w:t>
      </w:r>
      <w:r w:rsidRPr="00667AD8">
        <w:t>Solt LA, Kojetin DJ, Burris TP. The REV-ERBs and RORs: Molecular links between circadian rhythms and lipid homeostasis. Vol. 3, Future Medicinal Chemistry. 2011. p. 623–38.</w:t>
      </w:r>
    </w:p>
    <w:p w14:paraId="1ABFD239" w14:textId="77777777" w:rsidR="00811A47" w:rsidRDefault="00811A47" w:rsidP="005467F4"/>
    <w:p w14:paraId="0B35C64E" w14:textId="526FAFC7" w:rsidR="00FB6677" w:rsidRDefault="00FB6677" w:rsidP="005467F4"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27F3F4A1" w14:textId="3F322C64" w:rsidR="00CD1A08" w:rsidRPr="0067263C" w:rsidRDefault="00CD1A08" w:rsidP="001164A5">
      <w:pPr>
        <w:pStyle w:val="Vietaprimernivel"/>
      </w:pPr>
      <w:r w:rsidRPr="0067263C">
        <w:t xml:space="preserve">Deberás entregar un documento Word o </w:t>
      </w:r>
      <w:r w:rsidR="001164A5" w:rsidRPr="0067263C">
        <w:t>PDF</w:t>
      </w:r>
      <w:r w:rsidRPr="0067263C">
        <w:t>.</w:t>
      </w:r>
    </w:p>
    <w:p w14:paraId="54FC952F" w14:textId="77777777" w:rsidR="00CD1A08" w:rsidRPr="0067263C" w:rsidRDefault="00CD1A08" w:rsidP="001164A5">
      <w:pPr>
        <w:pStyle w:val="Vietaprimernivel"/>
      </w:pPr>
      <w:r w:rsidRPr="0067263C">
        <w:t xml:space="preserve">Extensión máxima: </w:t>
      </w:r>
      <w:r>
        <w:t>4</w:t>
      </w:r>
      <w:r w:rsidRPr="0067263C">
        <w:t xml:space="preserve"> páginas.</w:t>
      </w:r>
    </w:p>
    <w:p w14:paraId="78F41DF6" w14:textId="77777777" w:rsidR="00CD1A08" w:rsidRPr="0067263C" w:rsidRDefault="00CD1A08" w:rsidP="001164A5">
      <w:pPr>
        <w:pStyle w:val="Vietaprimernivel"/>
      </w:pPr>
      <w:r w:rsidRPr="0067263C">
        <w:t xml:space="preserve">Fuente: Calibri, tamaño 12 e interlineado 1,15. </w:t>
      </w:r>
    </w:p>
    <w:p w14:paraId="482E6A2A" w14:textId="77777777" w:rsidR="00CD1A08" w:rsidRPr="0067263C" w:rsidRDefault="00CD1A08" w:rsidP="001164A5">
      <w:pPr>
        <w:pStyle w:val="Vietaprimernivel"/>
      </w:pPr>
      <w:r w:rsidRPr="0067263C">
        <w:t>Referencias bibliográficas en formato Vancouver.</w:t>
      </w:r>
    </w:p>
    <w:p w14:paraId="37ABBA94" w14:textId="77777777" w:rsidR="00CD1A08" w:rsidRDefault="00CD1A08" w:rsidP="00CD1A08"/>
    <w:p w14:paraId="6D7C831D" w14:textId="77777777" w:rsidR="00FB6677" w:rsidRDefault="00FB6677" w:rsidP="00FB6677">
      <w:r>
        <w:br w:type="page"/>
      </w:r>
    </w:p>
    <w:p w14:paraId="3F246607" w14:textId="77777777" w:rsidR="00A232E5" w:rsidRPr="007476CD" w:rsidRDefault="00A232E5" w:rsidP="00A232E5">
      <w:pPr>
        <w:pStyle w:val="TtuloApartado3"/>
      </w:pPr>
      <w:r>
        <w:lastRenderedPageBreak/>
        <w:t>Criterios de evaluación</w:t>
      </w:r>
    </w:p>
    <w:p w14:paraId="726AF8BA" w14:textId="77777777" w:rsidR="00A232E5" w:rsidRPr="007476CD" w:rsidRDefault="00A232E5" w:rsidP="00A232E5"/>
    <w:p w14:paraId="790BBD3F" w14:textId="5621D1EE" w:rsidR="00C3398B" w:rsidRDefault="00E84807" w:rsidP="00E84807">
      <w:pPr>
        <w:jc w:val="center"/>
      </w:pPr>
      <w:r>
        <w:rPr>
          <w:noProof/>
        </w:rPr>
        <w:drawing>
          <wp:inline distT="0" distB="0" distL="0" distR="0" wp14:anchorId="0F5D429D" wp14:editId="2513BCD7">
            <wp:extent cx="4654855" cy="3482672"/>
            <wp:effectExtent l="0" t="0" r="0" b="3810"/>
            <wp:docPr id="2449227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65" cy="3485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3E563" w14:textId="77777777" w:rsidR="00E64B3C" w:rsidRDefault="00E64B3C" w:rsidP="00A232E5"/>
    <w:sectPr w:rsidR="00E64B3C" w:rsidSect="006008F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223EC" w14:textId="77777777" w:rsidR="00DE435E" w:rsidRDefault="00DE435E" w:rsidP="00C50246">
      <w:pPr>
        <w:spacing w:line="240" w:lineRule="auto"/>
      </w:pPr>
      <w:r>
        <w:separator/>
      </w:r>
    </w:p>
  </w:endnote>
  <w:endnote w:type="continuationSeparator" w:id="0">
    <w:p w14:paraId="7828FC44" w14:textId="77777777" w:rsidR="00DE435E" w:rsidRDefault="00DE435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0D96" w14:textId="77777777" w:rsidR="001164A5" w:rsidRDefault="001164A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B525" w14:textId="77777777" w:rsidR="001164A5" w:rsidRDefault="001164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F7DE6" w14:textId="77777777" w:rsidR="00DE435E" w:rsidRDefault="00DE435E" w:rsidP="00C50246">
      <w:pPr>
        <w:spacing w:line="240" w:lineRule="auto"/>
      </w:pPr>
      <w:r>
        <w:separator/>
      </w:r>
    </w:p>
  </w:footnote>
  <w:footnote w:type="continuationSeparator" w:id="0">
    <w:p w14:paraId="2840C8B1" w14:textId="77777777" w:rsidR="00DE435E" w:rsidRDefault="00DE435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B3B0" w14:textId="77777777" w:rsidR="001164A5" w:rsidRDefault="001164A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5A2139FD" w:rsidR="006008F8" w:rsidRDefault="0094562D" w:rsidP="008155DA">
    <w:pPr>
      <w:jc w:val="left"/>
    </w:pPr>
    <w:bookmarkStart w:id="3" w:name="_Hlk100738584"/>
    <w:r w:rsidRPr="0094562D">
      <w:t>Genética Clínica y de Poblaciones</w:t>
    </w:r>
    <w:r w:rsidR="006008F8" w:rsidRPr="0075147B">
      <w:t xml:space="preserve"> </w:t>
    </w:r>
  </w:p>
  <w:bookmarkEnd w:id="3"/>
  <w:p w14:paraId="358D7EEF" w14:textId="77777777" w:rsidR="005C4BE9" w:rsidRDefault="005C4BE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1D6B8" w14:textId="77777777" w:rsidR="001164A5" w:rsidRDefault="001164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FF0"/>
    <w:multiLevelType w:val="hybridMultilevel"/>
    <w:tmpl w:val="5FE685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D3B81"/>
    <w:multiLevelType w:val="hybridMultilevel"/>
    <w:tmpl w:val="EE528132"/>
    <w:lvl w:ilvl="0" w:tplc="E26C0130">
      <w:start w:val="1"/>
      <w:numFmt w:val="bullet"/>
      <w:pStyle w:val="Vietaprimernivel"/>
      <w:lvlText w:val="►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C9A2E9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4CA3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277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6CE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F227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D65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6A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2AF2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A1D66"/>
    <w:multiLevelType w:val="hybridMultilevel"/>
    <w:tmpl w:val="5226012C"/>
    <w:lvl w:ilvl="0" w:tplc="D4ECD93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B2AF5"/>
    <w:multiLevelType w:val="hybridMultilevel"/>
    <w:tmpl w:val="27FC7658"/>
    <w:lvl w:ilvl="0" w:tplc="05D6493C">
      <w:start w:val="1"/>
      <w:numFmt w:val="bullet"/>
      <w:lvlText w:val="●"/>
      <w:lvlJc w:val="left"/>
      <w:pPr>
        <w:ind w:left="284" w:hanging="284"/>
      </w:pPr>
      <w:rPr>
        <w:rFonts w:ascii="MS Gothic" w:eastAsia="MS Gothic" w:hAnsi="MS Gothic" w:hint="eastAsia"/>
        <w:color w:val="auto"/>
        <w:sz w:val="12"/>
      </w:rPr>
    </w:lvl>
    <w:lvl w:ilvl="1" w:tplc="9C90BA9E">
      <w:start w:val="1"/>
      <w:numFmt w:val="bullet"/>
      <w:pStyle w:val="Vietasegundonivel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8256A45"/>
    <w:multiLevelType w:val="singleLevel"/>
    <w:tmpl w:val="3F8C4D0A"/>
    <w:lvl w:ilvl="0">
      <w:start w:val="1"/>
      <w:numFmt w:val="decimal"/>
      <w:pStyle w:val="ListanumeradaTEST"/>
      <w:lvlText w:val="%1."/>
      <w:lvlJc w:val="left"/>
      <w:pPr>
        <w:ind w:left="360" w:hanging="360"/>
      </w:pPr>
      <w:rPr>
        <w:rFonts w:hint="default"/>
        <w:b/>
        <w:color w:val="auto"/>
        <w:sz w:val="24"/>
      </w:rPr>
    </w:lvl>
  </w:abstractNum>
  <w:num w:numId="1" w16cid:durableId="420176660">
    <w:abstractNumId w:val="5"/>
  </w:num>
  <w:num w:numId="2" w16cid:durableId="1028332772">
    <w:abstractNumId w:val="4"/>
  </w:num>
  <w:num w:numId="3" w16cid:durableId="2014604679">
    <w:abstractNumId w:val="7"/>
  </w:num>
  <w:num w:numId="4" w16cid:durableId="1515458031">
    <w:abstractNumId w:val="6"/>
  </w:num>
  <w:num w:numId="5" w16cid:durableId="1410686708">
    <w:abstractNumId w:val="8"/>
  </w:num>
  <w:num w:numId="6" w16cid:durableId="898400203">
    <w:abstractNumId w:val="1"/>
  </w:num>
  <w:num w:numId="7" w16cid:durableId="1358315615">
    <w:abstractNumId w:val="3"/>
  </w:num>
  <w:num w:numId="8" w16cid:durableId="228078604">
    <w:abstractNumId w:val="2"/>
  </w:num>
  <w:num w:numId="9" w16cid:durableId="1415130639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9CF"/>
    <w:rsid w:val="00006EA2"/>
    <w:rsid w:val="000070C4"/>
    <w:rsid w:val="00007725"/>
    <w:rsid w:val="00016003"/>
    <w:rsid w:val="00017482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0E6"/>
    <w:rsid w:val="0005762B"/>
    <w:rsid w:val="0006009E"/>
    <w:rsid w:val="00061750"/>
    <w:rsid w:val="00061BDC"/>
    <w:rsid w:val="00062141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0E27"/>
    <w:rsid w:val="000A1C17"/>
    <w:rsid w:val="000A331B"/>
    <w:rsid w:val="000A4FB9"/>
    <w:rsid w:val="000A54C1"/>
    <w:rsid w:val="000A5914"/>
    <w:rsid w:val="000A78DB"/>
    <w:rsid w:val="000B3104"/>
    <w:rsid w:val="000B5029"/>
    <w:rsid w:val="000C3AF0"/>
    <w:rsid w:val="000C4BFF"/>
    <w:rsid w:val="000C4D94"/>
    <w:rsid w:val="000C68D7"/>
    <w:rsid w:val="000D13E3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2A05"/>
    <w:rsid w:val="001060E2"/>
    <w:rsid w:val="00112B38"/>
    <w:rsid w:val="001164A5"/>
    <w:rsid w:val="00121960"/>
    <w:rsid w:val="001252C2"/>
    <w:rsid w:val="001337B6"/>
    <w:rsid w:val="001353D2"/>
    <w:rsid w:val="00137CF9"/>
    <w:rsid w:val="0015223B"/>
    <w:rsid w:val="00153B13"/>
    <w:rsid w:val="00156BC9"/>
    <w:rsid w:val="00157064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97C69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0F8"/>
    <w:rsid w:val="00253DA9"/>
    <w:rsid w:val="00260B21"/>
    <w:rsid w:val="002619F8"/>
    <w:rsid w:val="00262055"/>
    <w:rsid w:val="00265403"/>
    <w:rsid w:val="00271E65"/>
    <w:rsid w:val="00273725"/>
    <w:rsid w:val="00277EB8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B6FEA"/>
    <w:rsid w:val="002C037B"/>
    <w:rsid w:val="002C081F"/>
    <w:rsid w:val="002C0E95"/>
    <w:rsid w:val="002C233B"/>
    <w:rsid w:val="002C34D9"/>
    <w:rsid w:val="002C467C"/>
    <w:rsid w:val="002C59F8"/>
    <w:rsid w:val="002C64FB"/>
    <w:rsid w:val="002C770D"/>
    <w:rsid w:val="002E198B"/>
    <w:rsid w:val="002E344C"/>
    <w:rsid w:val="002E6FCB"/>
    <w:rsid w:val="002E769A"/>
    <w:rsid w:val="002E7B8C"/>
    <w:rsid w:val="002F25B7"/>
    <w:rsid w:val="00301D6A"/>
    <w:rsid w:val="00302FF8"/>
    <w:rsid w:val="00311724"/>
    <w:rsid w:val="003117D6"/>
    <w:rsid w:val="003176BF"/>
    <w:rsid w:val="00320378"/>
    <w:rsid w:val="00322210"/>
    <w:rsid w:val="003224A0"/>
    <w:rsid w:val="003258CF"/>
    <w:rsid w:val="0032751A"/>
    <w:rsid w:val="00327C72"/>
    <w:rsid w:val="00327C85"/>
    <w:rsid w:val="00327E03"/>
    <w:rsid w:val="00330DE5"/>
    <w:rsid w:val="00330EBD"/>
    <w:rsid w:val="003369FB"/>
    <w:rsid w:val="00340440"/>
    <w:rsid w:val="0034363F"/>
    <w:rsid w:val="003459CF"/>
    <w:rsid w:val="00351EC2"/>
    <w:rsid w:val="003559DD"/>
    <w:rsid w:val="00361683"/>
    <w:rsid w:val="00363246"/>
    <w:rsid w:val="00363DED"/>
    <w:rsid w:val="0037013A"/>
    <w:rsid w:val="003758B4"/>
    <w:rsid w:val="0037683C"/>
    <w:rsid w:val="00394A34"/>
    <w:rsid w:val="00394AD5"/>
    <w:rsid w:val="003979FB"/>
    <w:rsid w:val="003A10AB"/>
    <w:rsid w:val="003A332D"/>
    <w:rsid w:val="003A4543"/>
    <w:rsid w:val="003A4AFE"/>
    <w:rsid w:val="003B0E67"/>
    <w:rsid w:val="003B1F25"/>
    <w:rsid w:val="003C2275"/>
    <w:rsid w:val="003C4234"/>
    <w:rsid w:val="003D0269"/>
    <w:rsid w:val="003D16DC"/>
    <w:rsid w:val="003D2262"/>
    <w:rsid w:val="003D4DCF"/>
    <w:rsid w:val="003D5C2C"/>
    <w:rsid w:val="003D5F24"/>
    <w:rsid w:val="003E6E97"/>
    <w:rsid w:val="003F24D7"/>
    <w:rsid w:val="004004CF"/>
    <w:rsid w:val="0041334B"/>
    <w:rsid w:val="00413379"/>
    <w:rsid w:val="00414382"/>
    <w:rsid w:val="00415375"/>
    <w:rsid w:val="004164E8"/>
    <w:rsid w:val="0041689C"/>
    <w:rsid w:val="004172DF"/>
    <w:rsid w:val="00420AC0"/>
    <w:rsid w:val="0042473F"/>
    <w:rsid w:val="00437389"/>
    <w:rsid w:val="0044634D"/>
    <w:rsid w:val="00446F8B"/>
    <w:rsid w:val="004476D3"/>
    <w:rsid w:val="004478AD"/>
    <w:rsid w:val="00454091"/>
    <w:rsid w:val="00455BA7"/>
    <w:rsid w:val="004567F9"/>
    <w:rsid w:val="00466671"/>
    <w:rsid w:val="0046796B"/>
    <w:rsid w:val="0047123B"/>
    <w:rsid w:val="00475EFA"/>
    <w:rsid w:val="004966B9"/>
    <w:rsid w:val="00497C87"/>
    <w:rsid w:val="004A1A48"/>
    <w:rsid w:val="004A2922"/>
    <w:rsid w:val="004A4D8E"/>
    <w:rsid w:val="004B2B82"/>
    <w:rsid w:val="004B3822"/>
    <w:rsid w:val="004B58FF"/>
    <w:rsid w:val="004B60B1"/>
    <w:rsid w:val="004B7249"/>
    <w:rsid w:val="004C1059"/>
    <w:rsid w:val="004C760A"/>
    <w:rsid w:val="004D4E6F"/>
    <w:rsid w:val="004D4F93"/>
    <w:rsid w:val="004E1547"/>
    <w:rsid w:val="004E52AC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467F4"/>
    <w:rsid w:val="00551A69"/>
    <w:rsid w:val="00555B62"/>
    <w:rsid w:val="00566823"/>
    <w:rsid w:val="00571D5E"/>
    <w:rsid w:val="00574B3D"/>
    <w:rsid w:val="00575580"/>
    <w:rsid w:val="00580429"/>
    <w:rsid w:val="0058112D"/>
    <w:rsid w:val="00585021"/>
    <w:rsid w:val="005B0856"/>
    <w:rsid w:val="005B0CDF"/>
    <w:rsid w:val="005B1961"/>
    <w:rsid w:val="005C1D3F"/>
    <w:rsid w:val="005C4BE9"/>
    <w:rsid w:val="005C520D"/>
    <w:rsid w:val="005C6C48"/>
    <w:rsid w:val="005D2544"/>
    <w:rsid w:val="005E0B6D"/>
    <w:rsid w:val="005E1EEE"/>
    <w:rsid w:val="005F2160"/>
    <w:rsid w:val="005F240A"/>
    <w:rsid w:val="005F2851"/>
    <w:rsid w:val="005F3C60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67AD8"/>
    <w:rsid w:val="006803DE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456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1A47"/>
    <w:rsid w:val="008127E5"/>
    <w:rsid w:val="008155DA"/>
    <w:rsid w:val="00816222"/>
    <w:rsid w:val="00816578"/>
    <w:rsid w:val="00816888"/>
    <w:rsid w:val="00824C6E"/>
    <w:rsid w:val="00824D10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1658"/>
    <w:rsid w:val="00912673"/>
    <w:rsid w:val="00917348"/>
    <w:rsid w:val="00921AE9"/>
    <w:rsid w:val="00922089"/>
    <w:rsid w:val="009233B9"/>
    <w:rsid w:val="00925DCA"/>
    <w:rsid w:val="00934BAB"/>
    <w:rsid w:val="00935FD2"/>
    <w:rsid w:val="00937974"/>
    <w:rsid w:val="009400C5"/>
    <w:rsid w:val="009434C7"/>
    <w:rsid w:val="009435B5"/>
    <w:rsid w:val="00944818"/>
    <w:rsid w:val="0094562D"/>
    <w:rsid w:val="009501A3"/>
    <w:rsid w:val="0095328C"/>
    <w:rsid w:val="009546DA"/>
    <w:rsid w:val="009563DF"/>
    <w:rsid w:val="00962EC2"/>
    <w:rsid w:val="009633DA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3548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E34"/>
    <w:rsid w:val="00A86F97"/>
    <w:rsid w:val="00A9140C"/>
    <w:rsid w:val="00A944F6"/>
    <w:rsid w:val="00A969BA"/>
    <w:rsid w:val="00A976B2"/>
    <w:rsid w:val="00AA3D8B"/>
    <w:rsid w:val="00AA4FDC"/>
    <w:rsid w:val="00AB2DE2"/>
    <w:rsid w:val="00AB5194"/>
    <w:rsid w:val="00AC4102"/>
    <w:rsid w:val="00AD3CC7"/>
    <w:rsid w:val="00AD4F85"/>
    <w:rsid w:val="00AD5510"/>
    <w:rsid w:val="00AE5D87"/>
    <w:rsid w:val="00AF0541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17A0A"/>
    <w:rsid w:val="00B22F15"/>
    <w:rsid w:val="00B309CA"/>
    <w:rsid w:val="00B31EC8"/>
    <w:rsid w:val="00B407F7"/>
    <w:rsid w:val="00B417CD"/>
    <w:rsid w:val="00B5171A"/>
    <w:rsid w:val="00B6171C"/>
    <w:rsid w:val="00B61D67"/>
    <w:rsid w:val="00B65A12"/>
    <w:rsid w:val="00B67479"/>
    <w:rsid w:val="00B70F9D"/>
    <w:rsid w:val="00B71FC6"/>
    <w:rsid w:val="00B72D4C"/>
    <w:rsid w:val="00B8087F"/>
    <w:rsid w:val="00B814A5"/>
    <w:rsid w:val="00B82328"/>
    <w:rsid w:val="00B96994"/>
    <w:rsid w:val="00B977A5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1A08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46362"/>
    <w:rsid w:val="00D47EEA"/>
    <w:rsid w:val="00D511BC"/>
    <w:rsid w:val="00D522FB"/>
    <w:rsid w:val="00D723DB"/>
    <w:rsid w:val="00D74023"/>
    <w:rsid w:val="00D741F6"/>
    <w:rsid w:val="00D771BD"/>
    <w:rsid w:val="00D8726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35E"/>
    <w:rsid w:val="00DE4822"/>
    <w:rsid w:val="00DE4A3B"/>
    <w:rsid w:val="00DE61BA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4807"/>
    <w:rsid w:val="00E85467"/>
    <w:rsid w:val="00E85931"/>
    <w:rsid w:val="00E8698C"/>
    <w:rsid w:val="00E92CDE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34F6"/>
    <w:rsid w:val="00F0115D"/>
    <w:rsid w:val="00F016CB"/>
    <w:rsid w:val="00F0370C"/>
    <w:rsid w:val="00F05C6B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00C6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5FF2"/>
    <w:rsid w:val="00FD6625"/>
    <w:rsid w:val="00FD7A4E"/>
    <w:rsid w:val="00FE1CD6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3B1F25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3B1F25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3B1F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3B1F25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auto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3B1F25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3B1F25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3B1F25"/>
    <w:rPr>
      <w:rFonts w:ascii="Calibri" w:hAnsi="Calibri"/>
      <w:color w:val="002060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3B1F25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3B1F25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B1F25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3B1F25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3B1F25"/>
    <w:pPr>
      <w:numPr>
        <w:numId w:val="6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3B1F2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3B1F25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3B1F25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TtuloTema"/>
    <w:next w:val="Normal"/>
    <w:uiPriority w:val="6"/>
    <w:qFormat/>
    <w:rsid w:val="003B1F25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autoRedefine/>
    <w:uiPriority w:val="12"/>
    <w:qFormat/>
    <w:rsid w:val="003B1F25"/>
    <w:pPr>
      <w:spacing w:before="120" w:after="120"/>
      <w:ind w:left="284" w:right="281"/>
      <w:jc w:val="center"/>
      <w:outlineLvl w:val="9"/>
    </w:pPr>
    <w:rPr>
      <w:color w:val="002060"/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3B1F25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3B1F25"/>
    <w:rPr>
      <w:rFonts w:cs="UnitOT-Medi"/>
      <w:b/>
    </w:rPr>
  </w:style>
  <w:style w:type="numbering" w:customStyle="1" w:styleId="NumeracinTest">
    <w:name w:val="Numeración Test"/>
    <w:uiPriority w:val="99"/>
    <w:rsid w:val="003B1F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3B1F25"/>
    <w:pPr>
      <w:pBdr>
        <w:top w:val="single" w:sz="4" w:space="4" w:color="auto"/>
        <w:bottom w:val="single" w:sz="4" w:space="1" w:color="auto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3B1F25"/>
    <w:pPr>
      <w:pBdr>
        <w:top w:val="single" w:sz="4" w:space="4" w:color="auto"/>
        <w:bottom w:val="single" w:sz="4" w:space="0" w:color="auto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3B1F25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3B1F25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3B1F25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3B1F25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autoRedefine/>
    <w:uiPriority w:val="22"/>
    <w:qFormat/>
    <w:rsid w:val="003B1F25"/>
    <w:pPr>
      <w:pBdr>
        <w:left w:val="single" w:sz="4" w:space="4" w:color="auto"/>
        <w:right w:val="single" w:sz="4" w:space="4" w:color="auto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3B1F25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3B1F25"/>
    <w:pPr>
      <w:numPr>
        <w:numId w:val="3"/>
      </w:numPr>
    </w:pPr>
  </w:style>
  <w:style w:type="paragraph" w:styleId="Piedepgina">
    <w:name w:val="footer"/>
    <w:basedOn w:val="Normal"/>
    <w:link w:val="PiedepginaCar"/>
    <w:uiPriority w:val="24"/>
    <w:qFormat/>
    <w:rsid w:val="003B1F2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3B1F25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3B1F25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3B1F25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B1F25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3B1F25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3B1F2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3B1F25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3B1F25"/>
    <w:pPr>
      <w:numPr>
        <w:ilvl w:val="1"/>
        <w:numId w:val="7"/>
      </w:numPr>
      <w:contextualSpacing/>
    </w:pPr>
  </w:style>
  <w:style w:type="paragraph" w:customStyle="1" w:styleId="ListanumeradaTEST">
    <w:name w:val="Lista numerada (TEST)"/>
    <w:basedOn w:val="Normal"/>
    <w:qFormat/>
    <w:rsid w:val="003B1F25"/>
    <w:pPr>
      <w:numPr>
        <w:numId w:val="5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B1F25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B1F25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3B1F25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3B1F25"/>
  </w:style>
  <w:style w:type="numbering" w:customStyle="1" w:styleId="NmeracinTest">
    <w:name w:val="Númeración Test"/>
    <w:uiPriority w:val="99"/>
    <w:rsid w:val="005C4BE9"/>
    <w:pPr>
      <w:numPr>
        <w:numId w:val="4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3B1F25"/>
    <w:pPr>
      <w:spacing w:line="360" w:lineRule="auto"/>
      <w:contextualSpacing w:val="0"/>
    </w:pPr>
    <w:rPr>
      <w:rFonts w:ascii="Calibri" w:eastAsia="Calibri" w:hAnsi="Calibri" w:cs="Times New Roman"/>
      <w:b/>
      <w:bCs/>
      <w:color w:val="333333"/>
      <w:spacing w:val="0"/>
      <w:kern w:val="0"/>
      <w:sz w:val="24"/>
      <w:szCs w:val="24"/>
      <w:lang w:eastAsia="ja-JP"/>
    </w:rPr>
  </w:style>
  <w:style w:type="paragraph" w:styleId="Prrafodelista">
    <w:name w:val="List Paragraph"/>
    <w:basedOn w:val="Normal"/>
    <w:uiPriority w:val="98"/>
    <w:qFormat/>
    <w:rsid w:val="003B1F25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98"/>
    <w:qFormat/>
    <w:rsid w:val="003B1F25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98"/>
    <w:rsid w:val="003B1F25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fuenteCar"/>
    <w:uiPriority w:val="1"/>
    <w:qFormat/>
    <w:rsid w:val="003B1F25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qFormat/>
    <w:rsid w:val="003B1F2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1F25"/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Cdigofuente">
    <w:name w:val="Código fuente"/>
    <w:basedOn w:val="Normal"/>
    <w:link w:val="CdigofuenteCar"/>
    <w:qFormat/>
    <w:rsid w:val="003B1F25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3B1F25"/>
    <w:rPr>
      <w:rFonts w:ascii="Consolas" w:hAnsi="Consolas" w:cs="Times New Roman"/>
      <w:color w:val="333333"/>
      <w:sz w:val="20"/>
      <w:szCs w:val="20"/>
      <w:lang w:val="en-IE" w:eastAsia="es-ES"/>
    </w:rPr>
  </w:style>
  <w:style w:type="paragraph" w:customStyle="1" w:styleId="TtuloTema">
    <w:name w:val="Título Tema"/>
    <w:basedOn w:val="Normal"/>
    <w:uiPriority w:val="3"/>
    <w:qFormat/>
    <w:rsid w:val="003B1F25"/>
    <w:pPr>
      <w:spacing w:line="240" w:lineRule="auto"/>
      <w:jc w:val="right"/>
    </w:pPr>
    <w:rPr>
      <w:rFonts w:ascii="Calibri Light" w:hAnsi="Calibri Light"/>
      <w:color w:val="000000" w:themeColor="text1"/>
      <w:sz w:val="84"/>
      <w:szCs w:val="84"/>
    </w:rPr>
  </w:style>
  <w:style w:type="paragraph" w:customStyle="1" w:styleId="TtuloAsignatura">
    <w:name w:val="Título Asignatura"/>
    <w:basedOn w:val="Normal"/>
    <w:uiPriority w:val="2"/>
    <w:qFormat/>
    <w:rsid w:val="003B1F25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Ntema">
    <w:name w:val="Nº tema"/>
    <w:basedOn w:val="TtuloAsignatura"/>
    <w:next w:val="Normal"/>
    <w:uiPriority w:val="1"/>
    <w:qFormat/>
    <w:rsid w:val="003B1F25"/>
    <w:pPr>
      <w:spacing w:line="240" w:lineRule="auto"/>
    </w:pPr>
  </w:style>
  <w:style w:type="paragraph" w:customStyle="1" w:styleId="SeccionesNivel">
    <w:name w:val="Secciones Nivel"/>
    <w:basedOn w:val="Normal"/>
    <w:next w:val="Normal"/>
    <w:uiPriority w:val="5"/>
    <w:qFormat/>
    <w:rsid w:val="003B1F25"/>
    <w:pPr>
      <w:spacing w:after="360"/>
      <w:jc w:val="right"/>
      <w:outlineLvl w:val="0"/>
    </w:pPr>
    <w:rPr>
      <w:rFonts w:ascii="Calibri Light" w:hAnsi="Calibri Light" w:cs="Arial"/>
      <w:noProof/>
      <w:color w:val="000000" w:themeColor="text1"/>
      <w:sz w:val="56"/>
      <w:szCs w:val="56"/>
    </w:rPr>
  </w:style>
  <w:style w:type="paragraph" w:customStyle="1" w:styleId="Seccinndice">
    <w:name w:val="Sección Índice"/>
    <w:basedOn w:val="SeccionesNivel"/>
    <w:next w:val="Normal"/>
    <w:uiPriority w:val="4"/>
    <w:qFormat/>
    <w:rsid w:val="003B1F25"/>
    <w:pPr>
      <w:spacing w:after="0"/>
      <w:ind w:left="284"/>
      <w:jc w:val="left"/>
      <w:outlineLvl w:val="9"/>
    </w:pPr>
  </w:style>
  <w:style w:type="paragraph" w:styleId="TDC1">
    <w:name w:val="toc 1"/>
    <w:basedOn w:val="Normal"/>
    <w:next w:val="Normal"/>
    <w:autoRedefine/>
    <w:uiPriority w:val="39"/>
    <w:rsid w:val="003B1F25"/>
    <w:pPr>
      <w:tabs>
        <w:tab w:val="right" w:pos="5810"/>
      </w:tabs>
      <w:spacing w:before="120"/>
      <w:ind w:left="284"/>
      <w:jc w:val="left"/>
    </w:pPr>
    <w:rPr>
      <w:noProof/>
      <w:color w:val="auto"/>
    </w:rPr>
  </w:style>
  <w:style w:type="paragraph" w:styleId="TDC2">
    <w:name w:val="toc 2"/>
    <w:basedOn w:val="Normal"/>
    <w:next w:val="Normal"/>
    <w:autoRedefine/>
    <w:uiPriority w:val="39"/>
    <w:rsid w:val="003B1F25"/>
    <w:pPr>
      <w:tabs>
        <w:tab w:val="right" w:pos="5952"/>
      </w:tabs>
      <w:ind w:left="567"/>
      <w:jc w:val="left"/>
    </w:pPr>
    <w:rPr>
      <w:noProof/>
      <w:color w:val="7F7F7F" w:themeColor="text1" w:themeTint="80"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3B1F25"/>
    <w:pPr>
      <w:outlineLvl w:val="9"/>
    </w:pPr>
  </w:style>
  <w:style w:type="character" w:styleId="Hipervnculovisitado">
    <w:name w:val="FollowedHyperlink"/>
    <w:basedOn w:val="Fuentedeprrafopredeter"/>
    <w:uiPriority w:val="99"/>
    <w:semiHidden/>
    <w:unhideWhenUsed/>
    <w:rsid w:val="00017482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qFormat/>
    <w:rsid w:val="004004C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argetscan.org/vert_80/" TargetMode="External"/><Relationship Id="rId18" Type="http://schemas.openxmlformats.org/officeDocument/2006/relationships/hyperlink" Target="https://www.uniprot.org/uniprotkb/Q13425/entry" TargetMode="External"/><Relationship Id="rId26" Type="http://schemas.openxmlformats.org/officeDocument/2006/relationships/hyperlink" Target="https://genecodis.genyo.es/gc4/analysisResults?job=1q7vzHi5zeOZYQ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uniprot.org/uniprotkb/O95477/entry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uniprot.org/uniprotkb/P35498/entry" TargetMode="External"/><Relationship Id="rId25" Type="http://schemas.openxmlformats.org/officeDocument/2006/relationships/hyperlink" Target="https://www.uniprot.org/uniprotkb/Q9HC78/entry" TargetMode="External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uniprot.org/" TargetMode="External"/><Relationship Id="rId20" Type="http://schemas.openxmlformats.org/officeDocument/2006/relationships/hyperlink" Target="https://www.uniprot.org/uniprotkb/O75157/entry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uniprot.org/uniprotkb/Q8IXS8/entry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bioinformatics.psb.ugent.be/webtools/Venn/" TargetMode="External"/><Relationship Id="rId23" Type="http://schemas.openxmlformats.org/officeDocument/2006/relationships/hyperlink" Target="https://www.uniprot.org/uniprotkb/P35398/entry" TargetMode="External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www.uniprot.org/uniprotkb/O00505/entry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irdb.org/mirdb/index.html" TargetMode="External"/><Relationship Id="rId22" Type="http://schemas.openxmlformats.org/officeDocument/2006/relationships/hyperlink" Target="https://www.uniprot.org/uniprotkb/Q9Y6Y1/entry" TargetMode="External"/><Relationship Id="rId27" Type="http://schemas.openxmlformats.org/officeDocument/2006/relationships/image" Target="media/image3.jpe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B9614D6-787A-4D80-B623-E7BF658B5442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62084075416"/>
    <we:property name="MENDELEY_CITATIONS" value="[]"/>
    <we:property name="MENDELEY_CITATIONS_LOCALE_CODE" value="&quot;es-ES&quot;"/>
    <we:property name="MENDELEY_CITATIONS_STYLE" value="{&quot;id&quot;:&quot;https://www.zotero.org/styles/vancouver&quot;,&quot;title&quot;:&quot;Vancouver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4.xml><?xml version="1.0" encoding="utf-8"?>
<ds:datastoreItem xmlns:ds="http://schemas.openxmlformats.org/officeDocument/2006/customXml" ds:itemID="{AE7F4C73-2C50-47D2-9EC7-7FE19A020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9</Pages>
  <Words>1630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Chema Sevilla</cp:lastModifiedBy>
  <cp:revision>20</cp:revision>
  <cp:lastPrinted>2017-11-10T07:47:00Z</cp:lastPrinted>
  <dcterms:created xsi:type="dcterms:W3CDTF">2025-08-09T19:12:00Z</dcterms:created>
  <dcterms:modified xsi:type="dcterms:W3CDTF">2025-11-17T14:27:00Z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