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5C" w:rsidRDefault="003B6A5C" w:rsidP="0033515B">
      <w:pPr>
        <w:jc w:val="center"/>
        <w:rPr>
          <w:sz w:val="28"/>
          <w:szCs w:val="28"/>
          <w:lang w:val="es-CU"/>
        </w:rPr>
      </w:pPr>
      <w:r>
        <w:rPr>
          <w:sz w:val="28"/>
          <w:szCs w:val="28"/>
          <w:lang w:val="es-CU"/>
        </w:rPr>
        <w:t>¿Qué es LINQ?</w:t>
      </w:r>
    </w:p>
    <w:p w:rsidR="003B6A5C" w:rsidRDefault="0033515B" w:rsidP="000B0D44">
      <w:pPr>
        <w:pStyle w:val="Prrafodelista"/>
        <w:numPr>
          <w:ilvl w:val="0"/>
          <w:numId w:val="5"/>
        </w:numPr>
        <w:jc w:val="both"/>
        <w:rPr>
          <w:lang w:val="es-CU"/>
        </w:rPr>
      </w:pPr>
      <w:r>
        <w:rPr>
          <w:lang w:val="es-CU"/>
        </w:rPr>
        <w:t>Sus significados por sus siglas es Language Integrated Query (Lenguaje Integrado de Consultas).</w:t>
      </w:r>
    </w:p>
    <w:p w:rsidR="003B6A5C" w:rsidRPr="004A5860" w:rsidRDefault="0033515B" w:rsidP="000B0D44">
      <w:pPr>
        <w:pStyle w:val="Prrafodelista"/>
        <w:numPr>
          <w:ilvl w:val="0"/>
          <w:numId w:val="5"/>
        </w:numPr>
        <w:jc w:val="both"/>
        <w:rPr>
          <w:lang w:val="es-CU"/>
        </w:rPr>
      </w:pPr>
      <w:r>
        <w:rPr>
          <w:lang w:val="es-CU"/>
        </w:rPr>
        <w:t>Son un conjunto de herramientas de Microsoft para realizar todo tipo de consultas a distintas de datos como objetos, xmls y base de datos.</w:t>
      </w:r>
    </w:p>
    <w:p w:rsidR="003B6A5C" w:rsidRDefault="004A5860" w:rsidP="000B0D44">
      <w:pPr>
        <w:pStyle w:val="Prrafodelista"/>
        <w:numPr>
          <w:ilvl w:val="0"/>
          <w:numId w:val="5"/>
        </w:numPr>
        <w:jc w:val="both"/>
        <w:rPr>
          <w:lang w:val="es-CU"/>
        </w:rPr>
      </w:pPr>
      <w:r>
        <w:rPr>
          <w:lang w:val="es-CU"/>
        </w:rPr>
        <w:t>Surge en el framework 3.5 y pronto coge una gran aceptación en el mundo .NET.</w:t>
      </w:r>
    </w:p>
    <w:p w:rsidR="004A5860" w:rsidRPr="004A5860" w:rsidRDefault="004A5860" w:rsidP="000B0D44">
      <w:pPr>
        <w:pStyle w:val="Prrafodelista"/>
        <w:numPr>
          <w:ilvl w:val="0"/>
          <w:numId w:val="5"/>
        </w:numPr>
        <w:jc w:val="both"/>
        <w:rPr>
          <w:lang w:val="es-CU"/>
        </w:rPr>
      </w:pPr>
      <w:r>
        <w:rPr>
          <w:lang w:val="es-CU"/>
        </w:rPr>
        <w:t>En 2008, es incorporado a C</w:t>
      </w:r>
      <w:r w:rsidRPr="004A5860">
        <w:t># 3.0.</w:t>
      </w:r>
    </w:p>
    <w:p w:rsidR="004A5860" w:rsidRPr="0033515B" w:rsidRDefault="004A5860" w:rsidP="000B0D44">
      <w:pPr>
        <w:pStyle w:val="Prrafodelista"/>
        <w:numPr>
          <w:ilvl w:val="0"/>
          <w:numId w:val="5"/>
        </w:numPr>
        <w:jc w:val="both"/>
        <w:rPr>
          <w:lang w:val="es-CU"/>
        </w:rPr>
      </w:pPr>
      <w:r>
        <w:rPr>
          <w:lang w:val="es-CU"/>
        </w:rPr>
        <w:t>Desde su surgimiento estuvo vinculado a herramientas como expresiones lambdas, infe</w:t>
      </w:r>
      <w:r w:rsidR="000B0D44">
        <w:rPr>
          <w:lang w:val="es-CU"/>
        </w:rPr>
        <w:t>rencia de tipos, genericidad y tipos anónimos.</w:t>
      </w:r>
    </w:p>
    <w:p w:rsidR="003B6A5C" w:rsidRDefault="003B6A5C" w:rsidP="00B7596C">
      <w:pPr>
        <w:rPr>
          <w:sz w:val="28"/>
          <w:szCs w:val="28"/>
          <w:lang w:val="es-CU"/>
        </w:rPr>
      </w:pPr>
    </w:p>
    <w:p w:rsidR="0079701C" w:rsidRPr="007C4A63" w:rsidRDefault="007C4A63" w:rsidP="00D10825">
      <w:pPr>
        <w:jc w:val="center"/>
        <w:rPr>
          <w:sz w:val="28"/>
          <w:szCs w:val="28"/>
          <w:lang w:val="es-CU"/>
        </w:rPr>
      </w:pPr>
      <w:r w:rsidRPr="007C4A63">
        <w:rPr>
          <w:sz w:val="28"/>
          <w:szCs w:val="28"/>
          <w:lang w:val="es-CU"/>
        </w:rPr>
        <w:t>Informaci</w:t>
      </w:r>
      <w:r w:rsidR="00D74055">
        <w:rPr>
          <w:sz w:val="28"/>
          <w:szCs w:val="28"/>
          <w:lang w:val="es-CU"/>
        </w:rPr>
        <w:t>ó</w:t>
      </w:r>
      <w:r w:rsidRPr="007C4A63">
        <w:rPr>
          <w:sz w:val="28"/>
          <w:szCs w:val="28"/>
          <w:lang w:val="es-CU"/>
        </w:rPr>
        <w:t>n general de las expresiones de consultas:</w:t>
      </w:r>
    </w:p>
    <w:p w:rsidR="007C4A63" w:rsidRDefault="007C4A63" w:rsidP="00D10825">
      <w:pPr>
        <w:pStyle w:val="Prrafodelista"/>
        <w:numPr>
          <w:ilvl w:val="0"/>
          <w:numId w:val="7"/>
        </w:numPr>
        <w:jc w:val="both"/>
        <w:rPr>
          <w:lang w:val="es-CU"/>
        </w:rPr>
      </w:pPr>
      <w:r>
        <w:t>Se pueden utilizar para consultar y transformar los datos de cualquier origen de datos habilitado para LINQ.</w:t>
      </w:r>
    </w:p>
    <w:p w:rsidR="007C4A63" w:rsidRDefault="007C4A63" w:rsidP="00D10825">
      <w:pPr>
        <w:pStyle w:val="Prrafodelista"/>
        <w:numPr>
          <w:ilvl w:val="0"/>
          <w:numId w:val="7"/>
        </w:numPr>
        <w:jc w:val="both"/>
        <w:rPr>
          <w:lang w:val="es-CU"/>
        </w:rPr>
      </w:pPr>
      <w:r>
        <w:t>Las expresiones de consulta son fáciles de controlar porque utilizan muchas construcciones de lenguaje C#.</w:t>
      </w:r>
    </w:p>
    <w:p w:rsidR="007C4A63" w:rsidRDefault="007C4A63" w:rsidP="00D10825">
      <w:pPr>
        <w:pStyle w:val="Prrafodelista"/>
        <w:numPr>
          <w:ilvl w:val="0"/>
          <w:numId w:val="7"/>
        </w:numPr>
        <w:jc w:val="both"/>
        <w:rPr>
          <w:lang w:val="es-CU"/>
        </w:rPr>
      </w:pPr>
      <w:r>
        <w:t>Todas las variables de una expresión de consulta están fuertemente tipadas, aunque en muchos casos no es necesario proporcionar el tipo explícitamente porque el compilador puede deducirlo.</w:t>
      </w:r>
    </w:p>
    <w:p w:rsidR="007C4A63" w:rsidRPr="007C4A63" w:rsidRDefault="007C4A63" w:rsidP="00D10825">
      <w:pPr>
        <w:pStyle w:val="Prrafodelista"/>
        <w:numPr>
          <w:ilvl w:val="0"/>
          <w:numId w:val="7"/>
        </w:numPr>
        <w:jc w:val="both"/>
        <w:rPr>
          <w:lang w:val="es-CU"/>
        </w:rPr>
      </w:pPr>
      <w:r>
        <w:t>Una consulta no se ejecuta hasta que no se realiza la iteración a través de la variable de consulta.</w:t>
      </w:r>
    </w:p>
    <w:p w:rsidR="007C4A63" w:rsidRPr="007C4A63" w:rsidRDefault="007C4A63" w:rsidP="00D10825">
      <w:pPr>
        <w:pStyle w:val="Prrafodelista"/>
        <w:numPr>
          <w:ilvl w:val="0"/>
          <w:numId w:val="7"/>
        </w:numPr>
        <w:jc w:val="both"/>
        <w:rPr>
          <w:lang w:val="es-CU"/>
        </w:rPr>
      </w:pPr>
      <w:r>
        <w:t>En tiempo de compilación, las expresiones de consulta se convierten en llamadas al método de operador de consulta estándar según las reglas establecidas en la especificación de C#. Cualquier consulta que se puede expresar con sintaxis de consulta también se puede expresar mediante sintaxis de método. Sin embargo, en la mayoría de los casos, la sintaxis de consulta es más legible y concisa.</w:t>
      </w:r>
    </w:p>
    <w:p w:rsidR="007C4A63" w:rsidRPr="00D67098" w:rsidRDefault="007C4A63" w:rsidP="00D10825">
      <w:pPr>
        <w:pStyle w:val="Prrafodelista"/>
        <w:numPr>
          <w:ilvl w:val="0"/>
          <w:numId w:val="7"/>
        </w:numPr>
        <w:jc w:val="both"/>
        <w:rPr>
          <w:lang w:val="es-CU"/>
        </w:rPr>
      </w:pPr>
      <w:r>
        <w:t>Como regla al escribir consultas LINQ, se recomienda utilizar la sintaxis de consulta siempre que sea posible y la sintaxis de método cuando sea necesario. No hay diferencias semánticas ni de rendimiento entre estas dos formas diversas. Las expresiones de consulta suelen ser más legibles que las expresiones equivalentes escritas con la sintaxis de método.</w:t>
      </w:r>
    </w:p>
    <w:p w:rsidR="00D67098" w:rsidRPr="00D67098" w:rsidRDefault="00D67098" w:rsidP="00D67098">
      <w:pPr>
        <w:pStyle w:val="Prrafodelista"/>
        <w:jc w:val="both"/>
        <w:rPr>
          <w:sz w:val="16"/>
          <w:szCs w:val="16"/>
          <w:lang w:val="es-CU"/>
        </w:rPr>
      </w:pPr>
    </w:p>
    <w:p w:rsidR="00F21CCB" w:rsidRPr="00F21CCB" w:rsidRDefault="00F21CCB" w:rsidP="00D10825">
      <w:pPr>
        <w:ind w:left="360"/>
        <w:jc w:val="center"/>
        <w:rPr>
          <w:sz w:val="28"/>
          <w:szCs w:val="28"/>
          <w:lang w:val="es-CU"/>
        </w:rPr>
      </w:pPr>
      <w:r w:rsidRPr="00F21CCB">
        <w:rPr>
          <w:sz w:val="28"/>
          <w:szCs w:val="28"/>
          <w:lang w:val="es-CU"/>
        </w:rPr>
        <w:t>Consultas que no transforman los datos de origen:</w:t>
      </w:r>
    </w:p>
    <w:p w:rsidR="00F21CCB" w:rsidRDefault="00F21CCB" w:rsidP="00F21CCB">
      <w:pPr>
        <w:ind w:left="360"/>
        <w:jc w:val="center"/>
        <w:rPr>
          <w:lang w:val="es-CU"/>
        </w:rPr>
      </w:pPr>
      <w:r>
        <w:rPr>
          <w:noProof/>
          <w:lang w:eastAsia="es-ES"/>
        </w:rPr>
        <w:drawing>
          <wp:inline distT="0" distB="0" distL="0" distR="0">
            <wp:extent cx="3857625" cy="2181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Wed_Mar_11_14.46.27.jpg"/>
                    <pic:cNvPicPr/>
                  </pic:nvPicPr>
                  <pic:blipFill>
                    <a:blip r:embed="rId5">
                      <a:extLst>
                        <a:ext uri="{28A0092B-C50C-407E-A947-70E740481C1C}">
                          <a14:useLocalDpi xmlns:a14="http://schemas.microsoft.com/office/drawing/2010/main" val="0"/>
                        </a:ext>
                      </a:extLst>
                    </a:blip>
                    <a:stretch>
                      <a:fillRect/>
                    </a:stretch>
                  </pic:blipFill>
                  <pic:spPr>
                    <a:xfrm>
                      <a:off x="0" y="0"/>
                      <a:ext cx="3857625" cy="2181225"/>
                    </a:xfrm>
                    <a:prstGeom prst="rect">
                      <a:avLst/>
                    </a:prstGeom>
                  </pic:spPr>
                </pic:pic>
              </a:graphicData>
            </a:graphic>
          </wp:inline>
        </w:drawing>
      </w:r>
    </w:p>
    <w:p w:rsidR="00F21CCB" w:rsidRPr="00F21CCB" w:rsidRDefault="00F21CCB" w:rsidP="00D10825">
      <w:pPr>
        <w:pStyle w:val="NormalWeb"/>
        <w:numPr>
          <w:ilvl w:val="0"/>
          <w:numId w:val="8"/>
        </w:numPr>
        <w:jc w:val="both"/>
        <w:rPr>
          <w:rFonts w:asciiTheme="minorHAnsi" w:hAnsiTheme="minorHAnsi" w:cstheme="minorHAnsi"/>
          <w:sz w:val="22"/>
          <w:szCs w:val="22"/>
        </w:rPr>
      </w:pPr>
      <w:r w:rsidRPr="00F21CCB">
        <w:rPr>
          <w:rFonts w:asciiTheme="minorHAnsi" w:hAnsiTheme="minorHAnsi" w:cstheme="minorHAnsi"/>
          <w:sz w:val="22"/>
          <w:szCs w:val="22"/>
        </w:rPr>
        <w:lastRenderedPageBreak/>
        <w:t>El argumento de tipo del origen de datos determina el tipo de la variable de rango.</w:t>
      </w:r>
    </w:p>
    <w:p w:rsidR="00F21CCB" w:rsidRPr="00F21CCB" w:rsidRDefault="00F21CCB" w:rsidP="00D10825">
      <w:pPr>
        <w:pStyle w:val="NormalWeb"/>
        <w:numPr>
          <w:ilvl w:val="0"/>
          <w:numId w:val="8"/>
        </w:numPr>
        <w:jc w:val="both"/>
        <w:rPr>
          <w:rFonts w:asciiTheme="minorHAnsi" w:hAnsiTheme="minorHAnsi" w:cstheme="minorHAnsi"/>
          <w:sz w:val="22"/>
          <w:szCs w:val="22"/>
        </w:rPr>
      </w:pPr>
      <w:r w:rsidRPr="00F21CCB">
        <w:rPr>
          <w:rFonts w:asciiTheme="minorHAnsi" w:hAnsiTheme="minorHAnsi" w:cstheme="minorHAnsi"/>
          <w:sz w:val="22"/>
          <w:szCs w:val="22"/>
        </w:rPr>
        <w:t xml:space="preserve">El tipo del objeto que está seleccionado determina el tipo de la variable de consulta. Aquí, </w:t>
      </w:r>
      <w:r w:rsidRPr="00C93042">
        <w:rPr>
          <w:rStyle w:val="CdigoHTML"/>
          <w:rFonts w:asciiTheme="minorHAnsi" w:hAnsiTheme="minorHAnsi" w:cstheme="minorHAnsi"/>
          <w:i/>
          <w:sz w:val="22"/>
          <w:szCs w:val="22"/>
        </w:rPr>
        <w:t>name</w:t>
      </w:r>
      <w:r>
        <w:rPr>
          <w:rFonts w:asciiTheme="minorHAnsi" w:hAnsiTheme="minorHAnsi" w:cstheme="minorHAnsi"/>
          <w:sz w:val="22"/>
          <w:szCs w:val="22"/>
        </w:rPr>
        <w:t xml:space="preserve"> es un </w:t>
      </w:r>
      <w:r w:rsidRPr="00C93042">
        <w:rPr>
          <w:rFonts w:asciiTheme="minorHAnsi" w:hAnsiTheme="minorHAnsi" w:cstheme="minorHAnsi"/>
          <w:i/>
          <w:sz w:val="22"/>
          <w:szCs w:val="22"/>
        </w:rPr>
        <w:t>string</w:t>
      </w:r>
      <w:r>
        <w:rPr>
          <w:rFonts w:asciiTheme="minorHAnsi" w:hAnsiTheme="minorHAnsi" w:cstheme="minorHAnsi"/>
          <w:sz w:val="22"/>
          <w:szCs w:val="22"/>
        </w:rPr>
        <w:t>, p</w:t>
      </w:r>
      <w:r w:rsidRPr="00F21CCB">
        <w:rPr>
          <w:rFonts w:asciiTheme="minorHAnsi" w:hAnsiTheme="minorHAnsi" w:cstheme="minorHAnsi"/>
          <w:sz w:val="22"/>
          <w:szCs w:val="22"/>
        </w:rPr>
        <w:t xml:space="preserve">or tanto, la variable de consulta es </w:t>
      </w:r>
      <w:r w:rsidRPr="00C93042">
        <w:rPr>
          <w:rStyle w:val="CdigoHTML"/>
          <w:rFonts w:asciiTheme="minorHAnsi" w:hAnsiTheme="minorHAnsi" w:cstheme="minorHAnsi"/>
          <w:i/>
          <w:sz w:val="22"/>
          <w:szCs w:val="22"/>
        </w:rPr>
        <w:t>IEnumerable&lt;string&gt;</w:t>
      </w:r>
      <w:r w:rsidRPr="00C93042">
        <w:rPr>
          <w:rFonts w:asciiTheme="minorHAnsi" w:hAnsiTheme="minorHAnsi" w:cstheme="minorHAnsi"/>
          <w:i/>
          <w:sz w:val="22"/>
          <w:szCs w:val="22"/>
        </w:rPr>
        <w:t>.</w:t>
      </w:r>
    </w:p>
    <w:p w:rsidR="00F21CCB" w:rsidRPr="00F21CCB" w:rsidRDefault="00F21CCB" w:rsidP="00D10825">
      <w:pPr>
        <w:pStyle w:val="NormalWeb"/>
        <w:numPr>
          <w:ilvl w:val="0"/>
          <w:numId w:val="8"/>
        </w:numPr>
        <w:jc w:val="both"/>
        <w:rPr>
          <w:rFonts w:asciiTheme="minorHAnsi" w:hAnsiTheme="minorHAnsi" w:cstheme="minorHAnsi"/>
          <w:sz w:val="22"/>
          <w:szCs w:val="22"/>
        </w:rPr>
      </w:pPr>
      <w:r w:rsidRPr="00F21CCB">
        <w:rPr>
          <w:rFonts w:asciiTheme="minorHAnsi" w:hAnsiTheme="minorHAnsi" w:cstheme="minorHAnsi"/>
          <w:sz w:val="22"/>
          <w:szCs w:val="22"/>
        </w:rPr>
        <w:t xml:space="preserve">La variable de consulta se procesa en iteración en la instrucción </w:t>
      </w:r>
      <w:r w:rsidRPr="00C93042">
        <w:rPr>
          <w:rStyle w:val="CdigoHTML"/>
          <w:rFonts w:asciiTheme="minorHAnsi" w:hAnsiTheme="minorHAnsi" w:cstheme="minorHAnsi"/>
          <w:i/>
          <w:sz w:val="22"/>
          <w:szCs w:val="22"/>
        </w:rPr>
        <w:t>foreach</w:t>
      </w:r>
      <w:r w:rsidRPr="00F21CCB">
        <w:rPr>
          <w:rFonts w:asciiTheme="minorHAnsi" w:hAnsiTheme="minorHAnsi" w:cstheme="minorHAnsi"/>
          <w:sz w:val="22"/>
          <w:szCs w:val="22"/>
        </w:rPr>
        <w:t xml:space="preserve">. Dado que la variable de consulta es una secuencia de </w:t>
      </w:r>
      <w:r w:rsidR="00C93042" w:rsidRPr="00C93042">
        <w:rPr>
          <w:rFonts w:asciiTheme="minorHAnsi" w:hAnsiTheme="minorHAnsi" w:cstheme="minorHAnsi"/>
          <w:i/>
          <w:sz w:val="22"/>
          <w:szCs w:val="22"/>
        </w:rPr>
        <w:t>string</w:t>
      </w:r>
      <w:r w:rsidRPr="00F21CCB">
        <w:rPr>
          <w:rFonts w:asciiTheme="minorHAnsi" w:hAnsiTheme="minorHAnsi" w:cstheme="minorHAnsi"/>
          <w:sz w:val="22"/>
          <w:szCs w:val="22"/>
        </w:rPr>
        <w:t>, la variable de iteración también es un</w:t>
      </w:r>
      <w:r w:rsidR="00C93042">
        <w:rPr>
          <w:rFonts w:asciiTheme="minorHAnsi" w:hAnsiTheme="minorHAnsi" w:cstheme="minorHAnsi"/>
          <w:sz w:val="22"/>
          <w:szCs w:val="22"/>
        </w:rPr>
        <w:t xml:space="preserve"> </w:t>
      </w:r>
      <w:r w:rsidR="00C93042" w:rsidRPr="00C93042">
        <w:rPr>
          <w:rFonts w:asciiTheme="minorHAnsi" w:hAnsiTheme="minorHAnsi" w:cstheme="minorHAnsi"/>
          <w:i/>
          <w:sz w:val="22"/>
          <w:szCs w:val="22"/>
        </w:rPr>
        <w:t>string</w:t>
      </w:r>
      <w:r w:rsidRPr="00F21CCB">
        <w:rPr>
          <w:rFonts w:asciiTheme="minorHAnsi" w:hAnsiTheme="minorHAnsi" w:cstheme="minorHAnsi"/>
          <w:sz w:val="22"/>
          <w:szCs w:val="22"/>
        </w:rPr>
        <w:t>.</w:t>
      </w:r>
    </w:p>
    <w:p w:rsidR="00F21CCB" w:rsidRDefault="00F21CCB" w:rsidP="00F21CCB">
      <w:pPr>
        <w:pStyle w:val="Prrafodelista"/>
        <w:ind w:left="1080"/>
        <w:rPr>
          <w:lang w:val="es-CU"/>
        </w:rPr>
      </w:pPr>
    </w:p>
    <w:p w:rsidR="00F21CCB" w:rsidRPr="00D05B9C" w:rsidRDefault="00D05B9C" w:rsidP="00D10825">
      <w:pPr>
        <w:jc w:val="center"/>
        <w:rPr>
          <w:sz w:val="28"/>
          <w:szCs w:val="28"/>
          <w:lang w:val="es-CU"/>
        </w:rPr>
      </w:pPr>
      <w:r w:rsidRPr="00D05B9C">
        <w:rPr>
          <w:sz w:val="28"/>
          <w:szCs w:val="28"/>
          <w:lang w:val="es-CU"/>
        </w:rPr>
        <w:t>Consultas que transforman los datos del origen</w:t>
      </w:r>
      <w:r>
        <w:rPr>
          <w:sz w:val="28"/>
          <w:szCs w:val="28"/>
          <w:lang w:val="es-CU"/>
        </w:rPr>
        <w:t>:</w:t>
      </w:r>
    </w:p>
    <w:p w:rsidR="00D05B9C" w:rsidRPr="00D05B9C" w:rsidRDefault="00D05B9C" w:rsidP="00D05B9C">
      <w:pPr>
        <w:rPr>
          <w:sz w:val="16"/>
          <w:szCs w:val="16"/>
          <w:lang w:val="es-CU"/>
        </w:rPr>
      </w:pPr>
    </w:p>
    <w:p w:rsidR="00D05B9C" w:rsidRDefault="00D05B9C" w:rsidP="00D05B9C">
      <w:pPr>
        <w:jc w:val="center"/>
        <w:rPr>
          <w:lang w:val="es-CU"/>
        </w:rPr>
      </w:pPr>
      <w:r>
        <w:rPr>
          <w:noProof/>
          <w:lang w:eastAsia="es-ES"/>
        </w:rPr>
        <w:drawing>
          <wp:inline distT="0" distB="0" distL="0" distR="0">
            <wp:extent cx="3838575" cy="2162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Wed_Mar_11_14.47.01.jpg"/>
                    <pic:cNvPicPr/>
                  </pic:nvPicPr>
                  <pic:blipFill>
                    <a:blip r:embed="rId6">
                      <a:extLst>
                        <a:ext uri="{28A0092B-C50C-407E-A947-70E740481C1C}">
                          <a14:useLocalDpi xmlns:a14="http://schemas.microsoft.com/office/drawing/2010/main" val="0"/>
                        </a:ext>
                      </a:extLst>
                    </a:blip>
                    <a:stretch>
                      <a:fillRect/>
                    </a:stretch>
                  </pic:blipFill>
                  <pic:spPr>
                    <a:xfrm>
                      <a:off x="0" y="0"/>
                      <a:ext cx="3838575" cy="2162175"/>
                    </a:xfrm>
                    <a:prstGeom prst="rect">
                      <a:avLst/>
                    </a:prstGeom>
                  </pic:spPr>
                </pic:pic>
              </a:graphicData>
            </a:graphic>
          </wp:inline>
        </w:drawing>
      </w:r>
    </w:p>
    <w:p w:rsidR="00D05B9C" w:rsidRPr="00D67098" w:rsidRDefault="00D05B9C" w:rsidP="00D05B9C">
      <w:pPr>
        <w:jc w:val="center"/>
        <w:rPr>
          <w:sz w:val="16"/>
          <w:szCs w:val="16"/>
          <w:lang w:val="es-CU"/>
        </w:rPr>
      </w:pPr>
    </w:p>
    <w:p w:rsidR="00D05B9C" w:rsidRPr="00D05B9C" w:rsidRDefault="00D05B9C" w:rsidP="00D10825">
      <w:pPr>
        <w:pStyle w:val="NormalWeb"/>
        <w:numPr>
          <w:ilvl w:val="0"/>
          <w:numId w:val="12"/>
        </w:numPr>
        <w:jc w:val="both"/>
        <w:rPr>
          <w:rFonts w:asciiTheme="minorHAnsi" w:hAnsiTheme="minorHAnsi" w:cstheme="minorHAnsi"/>
          <w:sz w:val="22"/>
          <w:szCs w:val="22"/>
        </w:rPr>
      </w:pPr>
      <w:r w:rsidRPr="00D05B9C">
        <w:rPr>
          <w:rFonts w:asciiTheme="minorHAnsi" w:hAnsiTheme="minorHAnsi" w:cstheme="minorHAnsi"/>
          <w:sz w:val="22"/>
          <w:szCs w:val="22"/>
        </w:rPr>
        <w:t>El argumento de tipo del origen de datos determina el tipo de la variable de rango.</w:t>
      </w:r>
    </w:p>
    <w:p w:rsidR="00D05B9C" w:rsidRDefault="00D05B9C" w:rsidP="00D10825">
      <w:pPr>
        <w:pStyle w:val="NormalWeb"/>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La instrucción </w:t>
      </w:r>
      <w:r w:rsidRPr="00D05B9C">
        <w:rPr>
          <w:rFonts w:asciiTheme="minorHAnsi" w:hAnsiTheme="minorHAnsi" w:cstheme="minorHAnsi"/>
          <w:i/>
          <w:sz w:val="22"/>
          <w:szCs w:val="22"/>
        </w:rPr>
        <w:t>select</w:t>
      </w:r>
      <w:r>
        <w:rPr>
          <w:rFonts w:asciiTheme="minorHAnsi" w:hAnsiTheme="minorHAnsi" w:cstheme="minorHAnsi"/>
          <w:sz w:val="22"/>
          <w:szCs w:val="22"/>
        </w:rPr>
        <w:t xml:space="preserve"> devuelve la propiedad </w:t>
      </w:r>
      <w:r w:rsidRPr="00D05B9C">
        <w:rPr>
          <w:rFonts w:asciiTheme="minorHAnsi" w:hAnsiTheme="minorHAnsi" w:cstheme="minorHAnsi"/>
          <w:i/>
          <w:sz w:val="22"/>
          <w:szCs w:val="22"/>
        </w:rPr>
        <w:t>Name</w:t>
      </w:r>
      <w:r>
        <w:rPr>
          <w:rFonts w:asciiTheme="minorHAnsi" w:hAnsiTheme="minorHAnsi" w:cstheme="minorHAnsi"/>
          <w:sz w:val="22"/>
          <w:szCs w:val="22"/>
        </w:rPr>
        <w:t xml:space="preserve"> en lugar del objeto </w:t>
      </w:r>
      <w:r w:rsidRPr="00D05B9C">
        <w:rPr>
          <w:rFonts w:asciiTheme="minorHAnsi" w:hAnsiTheme="minorHAnsi" w:cstheme="minorHAnsi"/>
          <w:i/>
          <w:sz w:val="22"/>
          <w:szCs w:val="22"/>
        </w:rPr>
        <w:t>Customer</w:t>
      </w:r>
      <w:r>
        <w:rPr>
          <w:rFonts w:asciiTheme="minorHAnsi" w:hAnsiTheme="minorHAnsi" w:cstheme="minorHAnsi"/>
          <w:sz w:val="22"/>
          <w:szCs w:val="22"/>
        </w:rPr>
        <w:t xml:space="preserve"> completo. Dado que </w:t>
      </w:r>
      <w:r w:rsidRPr="00D05B9C">
        <w:rPr>
          <w:rFonts w:asciiTheme="minorHAnsi" w:hAnsiTheme="minorHAnsi" w:cstheme="minorHAnsi"/>
          <w:i/>
          <w:sz w:val="22"/>
          <w:szCs w:val="22"/>
        </w:rPr>
        <w:t>name</w:t>
      </w:r>
      <w:r>
        <w:rPr>
          <w:rFonts w:asciiTheme="minorHAnsi" w:hAnsiTheme="minorHAnsi" w:cstheme="minorHAnsi"/>
          <w:sz w:val="22"/>
          <w:szCs w:val="22"/>
        </w:rPr>
        <w:t xml:space="preserve"> es un </w:t>
      </w:r>
      <w:r w:rsidRPr="00D05B9C">
        <w:rPr>
          <w:rFonts w:asciiTheme="minorHAnsi" w:hAnsiTheme="minorHAnsi" w:cstheme="minorHAnsi"/>
          <w:i/>
          <w:sz w:val="22"/>
          <w:szCs w:val="22"/>
        </w:rPr>
        <w:t>string</w:t>
      </w:r>
      <w:r>
        <w:rPr>
          <w:rFonts w:asciiTheme="minorHAnsi" w:hAnsiTheme="minorHAnsi" w:cstheme="minorHAnsi"/>
          <w:sz w:val="22"/>
          <w:szCs w:val="22"/>
        </w:rPr>
        <w:t xml:space="preserve">, el argumento de tipo de </w:t>
      </w:r>
      <w:r w:rsidRPr="00D05B9C">
        <w:rPr>
          <w:rFonts w:asciiTheme="minorHAnsi" w:hAnsiTheme="minorHAnsi" w:cstheme="minorHAnsi"/>
          <w:i/>
          <w:sz w:val="22"/>
          <w:szCs w:val="22"/>
        </w:rPr>
        <w:t>custNameQuery</w:t>
      </w:r>
      <w:r>
        <w:rPr>
          <w:rFonts w:asciiTheme="minorHAnsi" w:hAnsiTheme="minorHAnsi" w:cstheme="minorHAnsi"/>
          <w:sz w:val="22"/>
          <w:szCs w:val="22"/>
        </w:rPr>
        <w:t xml:space="preserve"> es string y no </w:t>
      </w:r>
      <w:r w:rsidRPr="00D05B9C">
        <w:rPr>
          <w:rFonts w:asciiTheme="minorHAnsi" w:hAnsiTheme="minorHAnsi" w:cstheme="minorHAnsi"/>
          <w:i/>
          <w:sz w:val="22"/>
          <w:szCs w:val="22"/>
        </w:rPr>
        <w:t>Customer</w:t>
      </w:r>
      <w:r>
        <w:rPr>
          <w:rFonts w:asciiTheme="minorHAnsi" w:hAnsiTheme="minorHAnsi" w:cstheme="minorHAnsi"/>
          <w:sz w:val="22"/>
          <w:szCs w:val="22"/>
        </w:rPr>
        <w:t>.</w:t>
      </w:r>
    </w:p>
    <w:p w:rsidR="00D05B9C" w:rsidRPr="00D05B9C" w:rsidRDefault="00D05B9C" w:rsidP="00D10825">
      <w:pPr>
        <w:pStyle w:val="NormalWeb"/>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Dado que </w:t>
      </w:r>
      <w:r w:rsidRPr="00D05B9C">
        <w:rPr>
          <w:rFonts w:asciiTheme="minorHAnsi" w:hAnsiTheme="minorHAnsi" w:cstheme="minorHAnsi"/>
          <w:i/>
          <w:sz w:val="22"/>
          <w:szCs w:val="22"/>
        </w:rPr>
        <w:t>custNameQuery</w:t>
      </w:r>
      <w:r>
        <w:rPr>
          <w:rFonts w:asciiTheme="minorHAnsi" w:hAnsiTheme="minorHAnsi" w:cstheme="minorHAnsi"/>
          <w:sz w:val="22"/>
          <w:szCs w:val="22"/>
        </w:rPr>
        <w:t xml:space="preserve"> es una secuencia de </w:t>
      </w:r>
      <w:r w:rsidRPr="00D05B9C">
        <w:rPr>
          <w:rFonts w:asciiTheme="minorHAnsi" w:hAnsiTheme="minorHAnsi" w:cstheme="minorHAnsi"/>
          <w:i/>
          <w:sz w:val="22"/>
          <w:szCs w:val="22"/>
        </w:rPr>
        <w:t>string</w:t>
      </w:r>
      <w:r>
        <w:rPr>
          <w:rFonts w:asciiTheme="minorHAnsi" w:hAnsiTheme="minorHAnsi" w:cstheme="minorHAnsi"/>
          <w:sz w:val="22"/>
          <w:szCs w:val="22"/>
        </w:rPr>
        <w:t xml:space="preserve">, la variable de iteración del ciclo </w:t>
      </w:r>
      <w:r w:rsidRPr="00D05B9C">
        <w:rPr>
          <w:rFonts w:asciiTheme="minorHAnsi" w:hAnsiTheme="minorHAnsi" w:cstheme="minorHAnsi"/>
          <w:i/>
          <w:sz w:val="22"/>
          <w:szCs w:val="22"/>
        </w:rPr>
        <w:t>foreach</w:t>
      </w:r>
      <w:r>
        <w:rPr>
          <w:rFonts w:asciiTheme="minorHAnsi" w:hAnsiTheme="minorHAnsi" w:cstheme="minorHAnsi"/>
          <w:sz w:val="22"/>
          <w:szCs w:val="22"/>
        </w:rPr>
        <w:t xml:space="preserve"> también debe ser </w:t>
      </w:r>
      <w:r w:rsidRPr="00D05B9C">
        <w:rPr>
          <w:rFonts w:asciiTheme="minorHAnsi" w:hAnsiTheme="minorHAnsi" w:cstheme="minorHAnsi"/>
          <w:i/>
          <w:sz w:val="22"/>
          <w:szCs w:val="22"/>
        </w:rPr>
        <w:t>string</w:t>
      </w:r>
      <w:r>
        <w:rPr>
          <w:rFonts w:asciiTheme="minorHAnsi" w:hAnsiTheme="minorHAnsi" w:cstheme="minorHAnsi"/>
          <w:sz w:val="22"/>
          <w:szCs w:val="22"/>
        </w:rPr>
        <w:t>.</w:t>
      </w:r>
    </w:p>
    <w:p w:rsidR="003B6A5C" w:rsidRDefault="003B6A5C" w:rsidP="00D05B9C">
      <w:pPr>
        <w:rPr>
          <w:lang w:val="es-CU"/>
        </w:rPr>
      </w:pPr>
    </w:p>
    <w:p w:rsidR="00D05B9C" w:rsidRDefault="007B1A61" w:rsidP="007B1A61">
      <w:pPr>
        <w:jc w:val="center"/>
        <w:rPr>
          <w:lang w:val="es-CU"/>
        </w:rPr>
      </w:pPr>
      <w:r>
        <w:rPr>
          <w:noProof/>
          <w:lang w:eastAsia="es-ES"/>
        </w:rPr>
        <w:drawing>
          <wp:inline distT="0" distB="0" distL="0" distR="0">
            <wp:extent cx="3876675" cy="2171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Wed_Mar_11_14.47.40.jpg"/>
                    <pic:cNvPicPr/>
                  </pic:nvPicPr>
                  <pic:blipFill>
                    <a:blip r:embed="rId7">
                      <a:extLst>
                        <a:ext uri="{28A0092B-C50C-407E-A947-70E740481C1C}">
                          <a14:useLocalDpi xmlns:a14="http://schemas.microsoft.com/office/drawing/2010/main" val="0"/>
                        </a:ext>
                      </a:extLst>
                    </a:blip>
                    <a:stretch>
                      <a:fillRect/>
                    </a:stretch>
                  </pic:blipFill>
                  <pic:spPr>
                    <a:xfrm>
                      <a:off x="0" y="0"/>
                      <a:ext cx="3876675" cy="2171700"/>
                    </a:xfrm>
                    <a:prstGeom prst="rect">
                      <a:avLst/>
                    </a:prstGeom>
                  </pic:spPr>
                </pic:pic>
              </a:graphicData>
            </a:graphic>
          </wp:inline>
        </w:drawing>
      </w:r>
    </w:p>
    <w:p w:rsidR="007B1A61" w:rsidRDefault="007B1A61" w:rsidP="007B1A61">
      <w:pPr>
        <w:pStyle w:val="Prrafodelista"/>
        <w:rPr>
          <w:lang w:val="es-CU"/>
        </w:rPr>
      </w:pPr>
    </w:p>
    <w:p w:rsidR="007B1A61" w:rsidRPr="007B1A61" w:rsidRDefault="007B1A61" w:rsidP="0098737D">
      <w:pPr>
        <w:pStyle w:val="Prrafodelista"/>
        <w:numPr>
          <w:ilvl w:val="0"/>
          <w:numId w:val="15"/>
        </w:numPr>
        <w:jc w:val="both"/>
        <w:rPr>
          <w:lang w:val="es-CU"/>
        </w:rPr>
      </w:pPr>
      <w:r>
        <w:lastRenderedPageBreak/>
        <w:t>El argumento de tipo del origen de dato</w:t>
      </w:r>
      <w:bookmarkStart w:id="0" w:name="_GoBack"/>
      <w:bookmarkEnd w:id="0"/>
      <w:r>
        <w:t>s siempre es el tipo de la variable de rango de la consulta.</w:t>
      </w:r>
    </w:p>
    <w:p w:rsidR="007B1A61" w:rsidRPr="007B1A61" w:rsidRDefault="007B1A61" w:rsidP="0098737D">
      <w:pPr>
        <w:pStyle w:val="Prrafodelista"/>
        <w:numPr>
          <w:ilvl w:val="0"/>
          <w:numId w:val="15"/>
        </w:numPr>
        <w:jc w:val="both"/>
        <w:rPr>
          <w:lang w:val="es-CU"/>
        </w:rPr>
      </w:pPr>
      <w:r>
        <w:t xml:space="preserve">Dado que la instrucción </w:t>
      </w:r>
      <w:r w:rsidRPr="007B1A61">
        <w:rPr>
          <w:i/>
        </w:rPr>
        <w:t>select</w:t>
      </w:r>
      <w:r>
        <w:t xml:space="preserve"> genera un tipo anónimo, la variable de consulta debe declararse implícitamente mediante </w:t>
      </w:r>
      <w:r w:rsidRPr="007B1A61">
        <w:rPr>
          <w:i/>
        </w:rPr>
        <w:t>var</w:t>
      </w:r>
      <w:r>
        <w:t>.</w:t>
      </w:r>
    </w:p>
    <w:p w:rsidR="007B1A61" w:rsidRPr="007B1A61" w:rsidRDefault="007B1A61" w:rsidP="0098737D">
      <w:pPr>
        <w:pStyle w:val="Prrafodelista"/>
        <w:numPr>
          <w:ilvl w:val="0"/>
          <w:numId w:val="15"/>
        </w:numPr>
        <w:jc w:val="both"/>
        <w:rPr>
          <w:lang w:val="es-CU"/>
        </w:rPr>
      </w:pPr>
      <w:r>
        <w:t xml:space="preserve">Dado que el tipo de la variable de consulta es implícito, la variable de iteración del bucle </w:t>
      </w:r>
      <w:r w:rsidRPr="007B1A61">
        <w:rPr>
          <w:i/>
        </w:rPr>
        <w:t>foreach</w:t>
      </w:r>
      <w:r>
        <w:t xml:space="preserve"> también debe ser implícita.</w:t>
      </w:r>
    </w:p>
    <w:p w:rsidR="007B1A61" w:rsidRDefault="007B1A61" w:rsidP="007B1A61">
      <w:pPr>
        <w:rPr>
          <w:lang w:val="es-CU"/>
        </w:rPr>
      </w:pPr>
    </w:p>
    <w:p w:rsidR="007B1A61" w:rsidRPr="007408BE" w:rsidRDefault="007F3327" w:rsidP="0098737D">
      <w:pPr>
        <w:jc w:val="center"/>
        <w:rPr>
          <w:sz w:val="28"/>
          <w:szCs w:val="28"/>
          <w:lang w:val="es-CU"/>
        </w:rPr>
      </w:pPr>
      <w:r w:rsidRPr="007408BE">
        <w:rPr>
          <w:sz w:val="28"/>
          <w:szCs w:val="28"/>
          <w:lang w:val="es-CU"/>
        </w:rPr>
        <w:t>Sintaxix de consultas y sintax</w:t>
      </w:r>
      <w:r w:rsidR="007408BE" w:rsidRPr="007408BE">
        <w:rPr>
          <w:sz w:val="28"/>
          <w:szCs w:val="28"/>
          <w:lang w:val="es-CU"/>
        </w:rPr>
        <w:t>is de mé</w:t>
      </w:r>
      <w:r w:rsidRPr="007408BE">
        <w:rPr>
          <w:sz w:val="28"/>
          <w:szCs w:val="28"/>
          <w:lang w:val="es-CU"/>
        </w:rPr>
        <w:t>todos en LINQ</w:t>
      </w:r>
      <w:r w:rsidR="007408BE" w:rsidRPr="007408BE">
        <w:rPr>
          <w:sz w:val="28"/>
          <w:szCs w:val="28"/>
          <w:lang w:val="es-CU"/>
        </w:rPr>
        <w:t>:</w:t>
      </w:r>
    </w:p>
    <w:p w:rsidR="007408BE" w:rsidRPr="007408BE" w:rsidRDefault="007408BE" w:rsidP="0098737D">
      <w:pPr>
        <w:pStyle w:val="NormalWeb"/>
        <w:jc w:val="both"/>
        <w:rPr>
          <w:rFonts w:asciiTheme="minorHAnsi" w:hAnsiTheme="minorHAnsi" w:cstheme="minorHAnsi"/>
          <w:sz w:val="22"/>
          <w:szCs w:val="22"/>
        </w:rPr>
      </w:pPr>
      <w:r w:rsidRPr="007408BE">
        <w:rPr>
          <w:rFonts w:asciiTheme="minorHAnsi" w:hAnsiTheme="minorHAnsi" w:cstheme="minorHAnsi"/>
          <w:sz w:val="22"/>
          <w:szCs w:val="22"/>
        </w:rPr>
        <w:t>La mayoría de las consultas de la documentación introductoria de</w:t>
      </w:r>
      <w:r>
        <w:rPr>
          <w:rFonts w:asciiTheme="minorHAnsi" w:hAnsiTheme="minorHAnsi" w:cstheme="minorHAnsi"/>
          <w:sz w:val="22"/>
          <w:szCs w:val="22"/>
        </w:rPr>
        <w:t xml:space="preserve"> Language Integrated Query (LINQ</w:t>
      </w:r>
      <w:r w:rsidRPr="007408BE">
        <w:rPr>
          <w:rFonts w:asciiTheme="minorHAnsi" w:hAnsiTheme="minorHAnsi" w:cstheme="minorHAnsi"/>
          <w:sz w:val="22"/>
          <w:szCs w:val="22"/>
        </w:rPr>
        <w:t xml:space="preserve">) se escribe con la sintaxis de consulta declarativa de LINQ. Pero la sintaxis de consulta debe traducirse en llamadas de método para .NET Common Language Runtime (CLR) al compilar el código. Estas llamadas de método invocan los operadores de consulta estándar, que tienen nombres tales como </w:t>
      </w:r>
      <w:r w:rsidRPr="007408BE">
        <w:rPr>
          <w:rStyle w:val="CdigoHTML"/>
          <w:rFonts w:asciiTheme="minorHAnsi" w:hAnsiTheme="minorHAnsi" w:cstheme="minorHAnsi"/>
          <w:i/>
          <w:sz w:val="22"/>
          <w:szCs w:val="22"/>
        </w:rPr>
        <w:t>Where</w:t>
      </w:r>
      <w:r w:rsidRPr="007408BE">
        <w:rPr>
          <w:rFonts w:asciiTheme="minorHAnsi" w:hAnsiTheme="minorHAnsi" w:cstheme="minorHAnsi"/>
          <w:sz w:val="22"/>
          <w:szCs w:val="22"/>
        </w:rPr>
        <w:t xml:space="preserve">, </w:t>
      </w:r>
      <w:r w:rsidRPr="007408BE">
        <w:rPr>
          <w:rStyle w:val="CdigoHTML"/>
          <w:rFonts w:asciiTheme="minorHAnsi" w:hAnsiTheme="minorHAnsi" w:cstheme="minorHAnsi"/>
          <w:i/>
          <w:sz w:val="22"/>
          <w:szCs w:val="22"/>
        </w:rPr>
        <w:t>Select</w:t>
      </w:r>
      <w:r w:rsidRPr="007408BE">
        <w:rPr>
          <w:rFonts w:asciiTheme="minorHAnsi" w:hAnsiTheme="minorHAnsi" w:cstheme="minorHAnsi"/>
          <w:sz w:val="22"/>
          <w:szCs w:val="22"/>
        </w:rPr>
        <w:t xml:space="preserve">, </w:t>
      </w:r>
      <w:r w:rsidRPr="007408BE">
        <w:rPr>
          <w:rStyle w:val="CdigoHTML"/>
          <w:rFonts w:asciiTheme="minorHAnsi" w:hAnsiTheme="minorHAnsi" w:cstheme="minorHAnsi"/>
          <w:i/>
          <w:sz w:val="22"/>
          <w:szCs w:val="22"/>
        </w:rPr>
        <w:t>GroupBy</w:t>
      </w:r>
      <w:r w:rsidRPr="007408BE">
        <w:rPr>
          <w:rFonts w:asciiTheme="minorHAnsi" w:hAnsiTheme="minorHAnsi" w:cstheme="minorHAnsi"/>
          <w:sz w:val="22"/>
          <w:szCs w:val="22"/>
        </w:rPr>
        <w:t xml:space="preserve">, </w:t>
      </w:r>
      <w:r w:rsidRPr="007408BE">
        <w:rPr>
          <w:rStyle w:val="CdigoHTML"/>
          <w:rFonts w:asciiTheme="minorHAnsi" w:hAnsiTheme="minorHAnsi" w:cstheme="minorHAnsi"/>
          <w:i/>
          <w:sz w:val="22"/>
          <w:szCs w:val="22"/>
        </w:rPr>
        <w:t>Join</w:t>
      </w:r>
      <w:r w:rsidRPr="007408BE">
        <w:rPr>
          <w:rFonts w:asciiTheme="minorHAnsi" w:hAnsiTheme="minorHAnsi" w:cstheme="minorHAnsi"/>
          <w:sz w:val="22"/>
          <w:szCs w:val="22"/>
        </w:rPr>
        <w:t xml:space="preserve">, </w:t>
      </w:r>
      <w:r w:rsidRPr="007408BE">
        <w:rPr>
          <w:rStyle w:val="CdigoHTML"/>
          <w:rFonts w:asciiTheme="minorHAnsi" w:hAnsiTheme="minorHAnsi" w:cstheme="minorHAnsi"/>
          <w:i/>
          <w:sz w:val="22"/>
          <w:szCs w:val="22"/>
        </w:rPr>
        <w:t>Max</w:t>
      </w:r>
      <w:r w:rsidRPr="007408BE">
        <w:rPr>
          <w:rFonts w:asciiTheme="minorHAnsi" w:hAnsiTheme="minorHAnsi" w:cstheme="minorHAnsi"/>
          <w:sz w:val="22"/>
          <w:szCs w:val="22"/>
        </w:rPr>
        <w:t xml:space="preserve"> y </w:t>
      </w:r>
      <w:r w:rsidRPr="007408BE">
        <w:rPr>
          <w:rStyle w:val="CdigoHTML"/>
          <w:rFonts w:asciiTheme="minorHAnsi" w:hAnsiTheme="minorHAnsi" w:cstheme="minorHAnsi"/>
          <w:i/>
          <w:sz w:val="22"/>
          <w:szCs w:val="22"/>
        </w:rPr>
        <w:t>Average</w:t>
      </w:r>
      <w:r w:rsidRPr="007408BE">
        <w:rPr>
          <w:rFonts w:asciiTheme="minorHAnsi" w:hAnsiTheme="minorHAnsi" w:cstheme="minorHAnsi"/>
          <w:sz w:val="22"/>
          <w:szCs w:val="22"/>
        </w:rPr>
        <w:t>. Puede llamarlas directamente con la sintaxis de método en lugar de la sintaxis de consulta.</w:t>
      </w:r>
    </w:p>
    <w:p w:rsidR="007408BE" w:rsidRDefault="007408BE" w:rsidP="0098737D">
      <w:pPr>
        <w:pStyle w:val="NormalWeb"/>
        <w:jc w:val="both"/>
        <w:rPr>
          <w:rFonts w:asciiTheme="minorHAnsi" w:hAnsiTheme="minorHAnsi" w:cstheme="minorHAnsi"/>
          <w:sz w:val="22"/>
          <w:szCs w:val="22"/>
        </w:rPr>
      </w:pPr>
      <w:r w:rsidRPr="007408BE">
        <w:rPr>
          <w:rFonts w:asciiTheme="minorHAnsi" w:hAnsiTheme="minorHAnsi" w:cstheme="minorHAnsi"/>
          <w:sz w:val="22"/>
          <w:szCs w:val="22"/>
        </w:rPr>
        <w:t>La sintaxis de consulta y la sintaxis de método son idénticas desde el punto de vista semántico, pero muchos usuarios creen que la sintaxis de consulta es mucho más sencilla y fácil de leer. Algunos métodos deben expresarse como llamadas de método. Por ejemplo, debe usar una llamada de método para expresar una consulta que recupera el número de elementos que cumplen una condición especificada. También debe usar una llamada de método para una consulta que recupera el elemento que tiene el valor máximo de una secuencia de origen.</w:t>
      </w:r>
    </w:p>
    <w:p w:rsidR="007408BE" w:rsidRDefault="0076030C" w:rsidP="0076030C">
      <w:pPr>
        <w:jc w:val="center"/>
      </w:pPr>
      <w:r>
        <w:rPr>
          <w:noProof/>
          <w:lang w:eastAsia="es-ES"/>
        </w:rPr>
        <w:drawing>
          <wp:inline distT="0" distB="0" distL="0" distR="0">
            <wp:extent cx="5400040" cy="45656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Wed_Mar_11_15.15.46.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565650"/>
                    </a:xfrm>
                    <a:prstGeom prst="rect">
                      <a:avLst/>
                    </a:prstGeom>
                  </pic:spPr>
                </pic:pic>
              </a:graphicData>
            </a:graphic>
          </wp:inline>
        </w:drawing>
      </w:r>
    </w:p>
    <w:p w:rsidR="0076030C" w:rsidRDefault="00D47F7E" w:rsidP="00D47F7E">
      <w:pPr>
        <w:jc w:val="center"/>
        <w:rPr>
          <w:sz w:val="28"/>
          <w:szCs w:val="28"/>
        </w:rPr>
      </w:pPr>
      <w:r w:rsidRPr="00D47F7E">
        <w:rPr>
          <w:sz w:val="28"/>
          <w:szCs w:val="28"/>
        </w:rPr>
        <w:lastRenderedPageBreak/>
        <w:t>Por qué las consultas LINQ son tan eficientes</w:t>
      </w:r>
      <w:r w:rsidR="00D74055">
        <w:rPr>
          <w:sz w:val="28"/>
          <w:szCs w:val="28"/>
        </w:rPr>
        <w:t>:</w:t>
      </w:r>
    </w:p>
    <w:p w:rsidR="00D47F7E" w:rsidRDefault="00D47F7E" w:rsidP="00A01368">
      <w:pPr>
        <w:pStyle w:val="Prrafodelista"/>
        <w:numPr>
          <w:ilvl w:val="0"/>
          <w:numId w:val="16"/>
        </w:numPr>
        <w:jc w:val="both"/>
      </w:pPr>
      <w:r>
        <w:t xml:space="preserve">Tienen la capacidad de crear nuevos tipos, esto se realiza en la cláusula </w:t>
      </w:r>
      <w:r w:rsidRPr="00A01368">
        <w:rPr>
          <w:i/>
        </w:rPr>
        <w:t>select</w:t>
      </w:r>
      <w:r>
        <w:t>.</w:t>
      </w:r>
    </w:p>
    <w:p w:rsidR="00D47F7E" w:rsidRDefault="00D47F7E" w:rsidP="00A01368">
      <w:pPr>
        <w:pStyle w:val="Prrafodelista"/>
        <w:numPr>
          <w:ilvl w:val="0"/>
          <w:numId w:val="16"/>
        </w:numPr>
        <w:jc w:val="both"/>
      </w:pPr>
      <w:r>
        <w:t>Pueden combinar varias secuencias de entrada en una sola secuencia de salida que tiene un tipo nuevo.</w:t>
      </w:r>
    </w:p>
    <w:p w:rsidR="00D47F7E" w:rsidRDefault="00D47F7E" w:rsidP="00A01368">
      <w:pPr>
        <w:pStyle w:val="Prrafodelista"/>
        <w:numPr>
          <w:ilvl w:val="0"/>
          <w:numId w:val="16"/>
        </w:numPr>
        <w:jc w:val="both"/>
      </w:pPr>
      <w:r>
        <w:t>Pueden crear secuencias de salida cuyos elementos estén formados por una o varias propiedades de cada elemento de la secuencia origen.</w:t>
      </w:r>
    </w:p>
    <w:p w:rsidR="00D47F7E" w:rsidRDefault="00D47F7E" w:rsidP="00A01368">
      <w:pPr>
        <w:pStyle w:val="Prrafodelista"/>
        <w:numPr>
          <w:ilvl w:val="0"/>
          <w:numId w:val="16"/>
        </w:numPr>
        <w:jc w:val="both"/>
      </w:pPr>
      <w:r>
        <w:t>Pueden crear secuencias de salida cuyos elementos estén formados por los resultados de las operaciones realizadas en el origen de datos.</w:t>
      </w:r>
    </w:p>
    <w:p w:rsidR="00D47F7E" w:rsidRDefault="00D47F7E" w:rsidP="00A01368">
      <w:pPr>
        <w:pStyle w:val="Prrafodelista"/>
        <w:numPr>
          <w:ilvl w:val="0"/>
          <w:numId w:val="16"/>
        </w:numPr>
        <w:jc w:val="both"/>
      </w:pPr>
      <w:r>
        <w:t>Pueden crear secuencias de salida en un formato diferente.</w:t>
      </w:r>
    </w:p>
    <w:p w:rsidR="00A01368" w:rsidRDefault="00A01368" w:rsidP="00A01368">
      <w:pPr>
        <w:jc w:val="both"/>
      </w:pPr>
    </w:p>
    <w:p w:rsidR="00A01368" w:rsidRPr="00D74055" w:rsidRDefault="00D74055" w:rsidP="00D74055">
      <w:pPr>
        <w:jc w:val="center"/>
        <w:rPr>
          <w:sz w:val="28"/>
          <w:szCs w:val="28"/>
        </w:rPr>
      </w:pPr>
      <w:r w:rsidRPr="00D74055">
        <w:rPr>
          <w:sz w:val="28"/>
          <w:szCs w:val="28"/>
        </w:rPr>
        <w:t>Tipos anónimos:</w:t>
      </w:r>
    </w:p>
    <w:p w:rsidR="00D74055" w:rsidRDefault="00D74055" w:rsidP="00D74055">
      <w:pPr>
        <w:jc w:val="both"/>
      </w:pPr>
      <w:r>
        <w:t>Un tipo anónimo se construye por el compilador y el nombre del tipo solo está disponible para el compilador. Los tipos anónimos son una manera cómoda de agrupar un conjunto de propiedades temporalmente en un resultado de consulta sin tener que definir un tipo con nombre independiente. Los tipos anónimos se inicializan con una nueva expresión y un inicializador de objeto, como se muestra aquí:</w:t>
      </w:r>
    </w:p>
    <w:p w:rsidR="00D74055" w:rsidRDefault="00D74055" w:rsidP="00D74055">
      <w:pPr>
        <w:jc w:val="both"/>
      </w:pPr>
      <w:r>
        <w:rPr>
          <w:noProof/>
          <w:lang w:eastAsia="es-ES"/>
        </w:rPr>
        <w:drawing>
          <wp:inline distT="0" distB="0" distL="0" distR="0">
            <wp:extent cx="5400040" cy="6750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Wed_Mar_11_15.42.10.jpg"/>
                    <pic:cNvPicPr/>
                  </pic:nvPicPr>
                  <pic:blipFill>
                    <a:blip r:embed="rId9">
                      <a:extLst>
                        <a:ext uri="{28A0092B-C50C-407E-A947-70E740481C1C}">
                          <a14:useLocalDpi xmlns:a14="http://schemas.microsoft.com/office/drawing/2010/main" val="0"/>
                        </a:ext>
                      </a:extLst>
                    </a:blip>
                    <a:stretch>
                      <a:fillRect/>
                    </a:stretch>
                  </pic:blipFill>
                  <pic:spPr>
                    <a:xfrm>
                      <a:off x="0" y="0"/>
                      <a:ext cx="5400040" cy="675005"/>
                    </a:xfrm>
                    <a:prstGeom prst="rect">
                      <a:avLst/>
                    </a:prstGeom>
                  </pic:spPr>
                </pic:pic>
              </a:graphicData>
            </a:graphic>
          </wp:inline>
        </w:drawing>
      </w:r>
    </w:p>
    <w:p w:rsidR="00D74055" w:rsidRDefault="00D74055" w:rsidP="00D74055">
      <w:pPr>
        <w:jc w:val="both"/>
      </w:pPr>
    </w:p>
    <w:p w:rsidR="00D74055" w:rsidRPr="00D74055" w:rsidRDefault="00D74055" w:rsidP="00D74055">
      <w:pPr>
        <w:jc w:val="both"/>
      </w:pPr>
    </w:p>
    <w:sectPr w:rsidR="00D74055" w:rsidRPr="00D740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0BC2"/>
    <w:multiLevelType w:val="hybridMultilevel"/>
    <w:tmpl w:val="60948F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DA4E9D"/>
    <w:multiLevelType w:val="hybridMultilevel"/>
    <w:tmpl w:val="541AD48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C22764C"/>
    <w:multiLevelType w:val="hybridMultilevel"/>
    <w:tmpl w:val="40EE772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1D947E85"/>
    <w:multiLevelType w:val="hybridMultilevel"/>
    <w:tmpl w:val="3B988C08"/>
    <w:lvl w:ilvl="0" w:tplc="0C0A000F">
      <w:start w:val="1"/>
      <w:numFmt w:val="decimal"/>
      <w:lvlText w:val="%1."/>
      <w:lvlJc w:val="left"/>
      <w:pPr>
        <w:ind w:left="720" w:hanging="360"/>
      </w:pPr>
    </w:lvl>
    <w:lvl w:ilvl="1" w:tplc="925687B4">
      <w:numFmt w:val="bullet"/>
      <w:lvlText w:val=""/>
      <w:lvlJc w:val="left"/>
      <w:pPr>
        <w:ind w:left="1440" w:hanging="360"/>
      </w:pPr>
      <w:rPr>
        <w:rFonts w:ascii="Symbol" w:eastAsia="Times New Roman" w:hAnsi="Symbol"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1790D2C"/>
    <w:multiLevelType w:val="hybridMultilevel"/>
    <w:tmpl w:val="02DAD9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1AD3C62"/>
    <w:multiLevelType w:val="hybridMultilevel"/>
    <w:tmpl w:val="62549F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AC648AD"/>
    <w:multiLevelType w:val="hybridMultilevel"/>
    <w:tmpl w:val="BD88AC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6C304A"/>
    <w:multiLevelType w:val="hybridMultilevel"/>
    <w:tmpl w:val="8F0C2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34235F"/>
    <w:multiLevelType w:val="hybridMultilevel"/>
    <w:tmpl w:val="4A0066F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nsid w:val="506D3063"/>
    <w:multiLevelType w:val="hybridMultilevel"/>
    <w:tmpl w:val="06AC68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F8B1753"/>
    <w:multiLevelType w:val="hybridMultilevel"/>
    <w:tmpl w:val="E6ECB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CF2579F"/>
    <w:multiLevelType w:val="hybridMultilevel"/>
    <w:tmpl w:val="CECA975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16159E"/>
    <w:multiLevelType w:val="hybridMultilevel"/>
    <w:tmpl w:val="0E0A14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2DD68DA"/>
    <w:multiLevelType w:val="hybridMultilevel"/>
    <w:tmpl w:val="70E0C6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4C442FE"/>
    <w:multiLevelType w:val="hybridMultilevel"/>
    <w:tmpl w:val="A4B404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A21596"/>
    <w:multiLevelType w:val="hybridMultilevel"/>
    <w:tmpl w:val="BE8ED9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C510CA3"/>
    <w:multiLevelType w:val="hybridMultilevel"/>
    <w:tmpl w:val="C02E58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6"/>
  </w:num>
  <w:num w:numId="4">
    <w:abstractNumId w:val="5"/>
  </w:num>
  <w:num w:numId="5">
    <w:abstractNumId w:val="3"/>
  </w:num>
  <w:num w:numId="6">
    <w:abstractNumId w:val="0"/>
  </w:num>
  <w:num w:numId="7">
    <w:abstractNumId w:val="10"/>
  </w:num>
  <w:num w:numId="8">
    <w:abstractNumId w:val="1"/>
  </w:num>
  <w:num w:numId="9">
    <w:abstractNumId w:val="13"/>
  </w:num>
  <w:num w:numId="10">
    <w:abstractNumId w:val="15"/>
  </w:num>
  <w:num w:numId="11">
    <w:abstractNumId w:val="8"/>
  </w:num>
  <w:num w:numId="12">
    <w:abstractNumId w:val="12"/>
  </w:num>
  <w:num w:numId="13">
    <w:abstractNumId w:val="4"/>
  </w:num>
  <w:num w:numId="14">
    <w:abstractNumId w:val="2"/>
  </w:num>
  <w:num w:numId="15">
    <w:abstractNumId w:val="1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6C"/>
    <w:rsid w:val="000B0D44"/>
    <w:rsid w:val="001E7071"/>
    <w:rsid w:val="0033515B"/>
    <w:rsid w:val="003B6A5C"/>
    <w:rsid w:val="004A5860"/>
    <w:rsid w:val="007408BE"/>
    <w:rsid w:val="0076030C"/>
    <w:rsid w:val="0079701C"/>
    <w:rsid w:val="007B1A61"/>
    <w:rsid w:val="007C4A63"/>
    <w:rsid w:val="007F3327"/>
    <w:rsid w:val="0098737D"/>
    <w:rsid w:val="009E6E4B"/>
    <w:rsid w:val="00A01368"/>
    <w:rsid w:val="00B7596C"/>
    <w:rsid w:val="00C93042"/>
    <w:rsid w:val="00D05B9C"/>
    <w:rsid w:val="00D10825"/>
    <w:rsid w:val="00D47F7E"/>
    <w:rsid w:val="00D67098"/>
    <w:rsid w:val="00D74055"/>
    <w:rsid w:val="00F21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E08DF-D9E8-437E-98FD-5D9F4E66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96C"/>
    <w:pPr>
      <w:ind w:left="720"/>
      <w:contextualSpacing/>
    </w:pPr>
  </w:style>
  <w:style w:type="paragraph" w:styleId="NormalWeb">
    <w:name w:val="Normal (Web)"/>
    <w:basedOn w:val="Normal"/>
    <w:uiPriority w:val="99"/>
    <w:semiHidden/>
    <w:unhideWhenUsed/>
    <w:rsid w:val="00F21C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21CCB"/>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740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5937">
      <w:bodyDiv w:val="1"/>
      <w:marLeft w:val="0"/>
      <w:marRight w:val="0"/>
      <w:marTop w:val="0"/>
      <w:marBottom w:val="0"/>
      <w:divBdr>
        <w:top w:val="none" w:sz="0" w:space="0" w:color="auto"/>
        <w:left w:val="none" w:sz="0" w:space="0" w:color="auto"/>
        <w:bottom w:val="none" w:sz="0" w:space="0" w:color="auto"/>
        <w:right w:val="none" w:sz="0" w:space="0" w:color="auto"/>
      </w:divBdr>
    </w:div>
    <w:div w:id="1201358624">
      <w:bodyDiv w:val="1"/>
      <w:marLeft w:val="0"/>
      <w:marRight w:val="0"/>
      <w:marTop w:val="0"/>
      <w:marBottom w:val="0"/>
      <w:divBdr>
        <w:top w:val="none" w:sz="0" w:space="0" w:color="auto"/>
        <w:left w:val="none" w:sz="0" w:space="0" w:color="auto"/>
        <w:bottom w:val="none" w:sz="0" w:space="0" w:color="auto"/>
        <w:right w:val="none" w:sz="0" w:space="0" w:color="auto"/>
      </w:divBdr>
    </w:div>
    <w:div w:id="20908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Arielito</dc:creator>
  <cp:keywords/>
  <dc:description/>
  <cp:lastModifiedBy>Arielito</cp:lastModifiedBy>
  <cp:revision>36</cp:revision>
  <dcterms:created xsi:type="dcterms:W3CDTF">2020-03-03T18:00:00Z</dcterms:created>
  <dcterms:modified xsi:type="dcterms:W3CDTF">2020-03-11T21:54:00Z</dcterms:modified>
</cp:coreProperties>
</file>