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5200"/>
        <w:tblW w:w="9659" w:type="dxa"/>
        <w:tblLook w:val="04A0"/>
      </w:tblPr>
      <w:tblGrid>
        <w:gridCol w:w="763"/>
        <w:gridCol w:w="1275"/>
        <w:gridCol w:w="1275"/>
        <w:gridCol w:w="1275"/>
        <w:gridCol w:w="1275"/>
        <w:gridCol w:w="1806"/>
        <w:gridCol w:w="765"/>
        <w:gridCol w:w="1225"/>
      </w:tblGrid>
      <w:tr w:rsidR="00197F55" w:rsidRPr="00197F55" w:rsidTr="00197F55">
        <w:trPr>
          <w:trHeight w:val="564"/>
        </w:trPr>
        <w:tc>
          <w:tcPr>
            <w:tcW w:w="763" w:type="dxa"/>
            <w:noWrap/>
            <w:hideMark/>
          </w:tcPr>
          <w:p w:rsidR="00197F55" w:rsidRPr="00197F55" w:rsidRDefault="00197F55" w:rsidP="00197F55">
            <w:r w:rsidRPr="00197F55">
              <w:t> 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proofErr w:type="spellStart"/>
            <w:r w:rsidRPr="00197F55">
              <w:t>Ytur</w:t>
            </w:r>
            <w:proofErr w:type="spellEnd"/>
            <w:r w:rsidRPr="00197F55">
              <w:t>/</w:t>
            </w:r>
            <w:proofErr w:type="spellStart"/>
            <w:r w:rsidRPr="00197F55">
              <w:t>Yusa</w:t>
            </w:r>
            <w:proofErr w:type="spellEnd"/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proofErr w:type="spellStart"/>
            <w:r w:rsidRPr="00197F55">
              <w:t>Atur</w:t>
            </w:r>
            <w:proofErr w:type="spellEnd"/>
            <w:r w:rsidRPr="00197F55">
              <w:t>/</w:t>
            </w:r>
            <w:proofErr w:type="spellStart"/>
            <w:r w:rsidRPr="00197F55">
              <w:t>Ausa</w:t>
            </w:r>
            <w:proofErr w:type="spellEnd"/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proofErr w:type="spellStart"/>
            <w:r w:rsidRPr="00197F55">
              <w:t>Ktur</w:t>
            </w:r>
            <w:proofErr w:type="spellEnd"/>
            <w:r w:rsidRPr="00197F55">
              <w:t>/</w:t>
            </w:r>
            <w:proofErr w:type="spellStart"/>
            <w:r w:rsidRPr="00197F55">
              <w:t>Kusa</w:t>
            </w:r>
            <w:proofErr w:type="spellEnd"/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proofErr w:type="spellStart"/>
            <w:r w:rsidRPr="00197F55">
              <w:t>Htur</w:t>
            </w:r>
            <w:proofErr w:type="spellEnd"/>
            <w:r w:rsidRPr="00197F55">
              <w:t>/</w:t>
            </w:r>
            <w:proofErr w:type="spellStart"/>
            <w:r w:rsidRPr="00197F55">
              <w:t>Husa</w:t>
            </w:r>
            <w:proofErr w:type="spellEnd"/>
          </w:p>
        </w:tc>
        <w:tc>
          <w:tcPr>
            <w:tcW w:w="1806" w:type="dxa"/>
            <w:noWrap/>
            <w:hideMark/>
          </w:tcPr>
          <w:p w:rsidR="00197F55" w:rsidRPr="00197F55" w:rsidRDefault="00197F55" w:rsidP="00197F55">
            <w:r w:rsidRPr="00197F55">
              <w:t>Factores Prod.tur/Factores prod.usa</w:t>
            </w:r>
          </w:p>
        </w:tc>
        <w:tc>
          <w:tcPr>
            <w:tcW w:w="765" w:type="dxa"/>
            <w:noWrap/>
            <w:hideMark/>
          </w:tcPr>
          <w:p w:rsidR="00197F55" w:rsidRPr="00197F55" w:rsidRDefault="00197F55" w:rsidP="00197F55">
            <w:r w:rsidRPr="00197F55">
              <w:t> </w:t>
            </w:r>
          </w:p>
        </w:tc>
        <w:tc>
          <w:tcPr>
            <w:tcW w:w="1225" w:type="dxa"/>
            <w:noWrap/>
            <w:hideMark/>
          </w:tcPr>
          <w:p w:rsidR="00197F55" w:rsidRPr="00197F55" w:rsidRDefault="00197F55" w:rsidP="00197F55">
            <w:r w:rsidRPr="00197F55">
              <w:t> </w:t>
            </w:r>
          </w:p>
        </w:tc>
      </w:tr>
      <w:tr w:rsidR="00197F55" w:rsidRPr="00197F55" w:rsidTr="00197F55">
        <w:trPr>
          <w:trHeight w:val="300"/>
        </w:trPr>
        <w:tc>
          <w:tcPr>
            <w:tcW w:w="763" w:type="dxa"/>
            <w:noWrap/>
            <w:hideMark/>
          </w:tcPr>
          <w:p w:rsidR="00197F55" w:rsidRPr="00197F55" w:rsidRDefault="00197F55" w:rsidP="00197F55">
            <w:r w:rsidRPr="00197F55">
              <w:t>1995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0,40725203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0,96926653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0,26762361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0,52646299</w:t>
            </w:r>
          </w:p>
        </w:tc>
        <w:tc>
          <w:tcPr>
            <w:tcW w:w="3796" w:type="dxa"/>
            <w:gridSpan w:val="3"/>
            <w:noWrap/>
            <w:hideMark/>
          </w:tcPr>
          <w:p w:rsidR="00197F55" w:rsidRPr="00197F55" w:rsidRDefault="00197F55" w:rsidP="00197F55">
            <w:r w:rsidRPr="00197F55">
              <w:t>0,420165161</w:t>
            </w:r>
          </w:p>
        </w:tc>
      </w:tr>
      <w:tr w:rsidR="00197F55" w:rsidRPr="00197F55" w:rsidTr="00197F55">
        <w:trPr>
          <w:trHeight w:val="187"/>
        </w:trPr>
        <w:tc>
          <w:tcPr>
            <w:tcW w:w="763" w:type="dxa"/>
            <w:noWrap/>
            <w:hideMark/>
          </w:tcPr>
          <w:p w:rsidR="00197F55" w:rsidRPr="00197F55" w:rsidRDefault="00197F55" w:rsidP="00197F55">
            <w:r w:rsidRPr="00197F55">
              <w:t>2014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0,53707724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0,90659982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0,52489689</w:t>
            </w:r>
          </w:p>
        </w:tc>
        <w:tc>
          <w:tcPr>
            <w:tcW w:w="1275" w:type="dxa"/>
            <w:noWrap/>
            <w:hideMark/>
          </w:tcPr>
          <w:p w:rsidR="00197F55" w:rsidRPr="00197F55" w:rsidRDefault="00197F55" w:rsidP="00197F55">
            <w:r w:rsidRPr="00197F55">
              <w:t>0,62935354</w:t>
            </w:r>
          </w:p>
        </w:tc>
        <w:tc>
          <w:tcPr>
            <w:tcW w:w="3796" w:type="dxa"/>
            <w:gridSpan w:val="3"/>
            <w:noWrap/>
            <w:hideMark/>
          </w:tcPr>
          <w:p w:rsidR="00197F55" w:rsidRPr="00197F55" w:rsidRDefault="00197F55" w:rsidP="00197F55">
            <w:r w:rsidRPr="00197F55">
              <w:t>0,59240828</w:t>
            </w:r>
          </w:p>
        </w:tc>
      </w:tr>
    </w:tbl>
    <w:p w:rsidR="00FE42A7" w:rsidRDefault="00FE42A7" w:rsidP="00FE42A7">
      <w:pPr>
        <w:jc w:val="center"/>
        <w:rPr>
          <w:sz w:val="32"/>
          <w:szCs w:val="32"/>
        </w:rPr>
      </w:pPr>
    </w:p>
    <w:p w:rsidR="00FE42A7" w:rsidRPr="00FE42A7" w:rsidRDefault="00FE42A7" w:rsidP="00FE42A7">
      <w:pPr>
        <w:jc w:val="center"/>
      </w:pPr>
      <w:r>
        <w:rPr>
          <w:sz w:val="32"/>
          <w:szCs w:val="32"/>
        </w:rPr>
        <w:t>CRECIMIENTO ECONOMICO: TAREA 3</w:t>
      </w:r>
    </w:p>
    <w:p w:rsidR="00FE42A7" w:rsidRDefault="00FE42A7"/>
    <w:p w:rsidR="00197F55" w:rsidRDefault="00197F55">
      <w:r>
        <w:t>En esta tarea se calculan y analizan el crecimiento de algunas variables macroeconómicas de Turquía para el periodo comprendido entre los años 1995-2014, ambos incluidos. Además, se hace una comparación de los valores de dichas variables. Primero de todo, se calcula el PIB real, el capital físico y la productividad en términos por trabajador. Para calcular el PIB real y el capital físico por trabajador basta con dividir los datos originales por el número de trabajadores activos en el país (variable “</w:t>
      </w:r>
      <w:proofErr w:type="spellStart"/>
      <w:r>
        <w:t>emp</w:t>
      </w:r>
      <w:proofErr w:type="spellEnd"/>
      <w:r>
        <w:t xml:space="preserve">”). Más tarde se calcula la productividad, mediante la siguiente </w:t>
      </w:r>
      <w:r w:rsidR="00E55844">
        <w:t>fórmula</w:t>
      </w:r>
      <w:r>
        <w:t xml:space="preserve">: y/(k^(1/3)*h^(2/3)). Todas estas variables sirven tanto para Turquía como para los EEUU. Una vez calculados los valores de las variables explicadas anteriormente, se procede al cálculo de los </w:t>
      </w:r>
      <w:r w:rsidR="00FE42A7">
        <w:t>ratios de los valores de Turquía</w:t>
      </w:r>
      <w:r>
        <w:t xml:space="preserve"> comparados con los estadounidenses para los años 1995 y 2014 (todos los ratios están medidos por trabajador)</w:t>
      </w:r>
      <w:r w:rsidR="00FE42A7">
        <w:t>.</w:t>
      </w:r>
    </w:p>
    <w:p w:rsidR="00FE42A7" w:rsidRDefault="00FE42A7"/>
    <w:p w:rsidR="00FE42A7" w:rsidRDefault="00FE42A7">
      <w:r>
        <w:t xml:space="preserve">Como podemos observar, la productividad relativa de </w:t>
      </w:r>
      <w:r w:rsidR="000C68E2">
        <w:t>Turquía</w:t>
      </w:r>
      <w:r>
        <w:t xml:space="preserve"> con respecto a Estados Unidos </w:t>
      </w:r>
      <w:r w:rsidR="000C68E2">
        <w:t xml:space="preserve">es la única que disminuye de 1995 a 2014. Sin embargo las </w:t>
      </w:r>
      <w:r w:rsidR="00E55844">
        <w:t>demás</w:t>
      </w:r>
      <w:r w:rsidR="000C68E2">
        <w:t xml:space="preserve"> variables aumentan con respecto a Estados Unidos.</w:t>
      </w:r>
    </w:p>
    <w:p w:rsidR="000C68E2" w:rsidRDefault="000C68E2">
      <w:r>
        <w:t>Para terminar, se calcula la contabilidad del crecimiento. Para ello se utiliza la formula general para calcular tasas de crecimiento medio anual para el periodo 1995-2014 para Turquía.</w:t>
      </w:r>
    </w:p>
    <w:p w:rsidR="00FE42A7" w:rsidRDefault="00FE42A7"/>
    <w:tbl>
      <w:tblPr>
        <w:tblStyle w:val="Tablaconcuadrcula"/>
        <w:tblpPr w:leftFromText="141" w:rightFromText="141" w:vertAnchor="text" w:horzAnchor="margin" w:tblpY="16"/>
        <w:tblW w:w="0" w:type="auto"/>
        <w:tblLook w:val="04A0"/>
      </w:tblPr>
      <w:tblGrid>
        <w:gridCol w:w="1190"/>
        <w:gridCol w:w="1275"/>
        <w:gridCol w:w="1275"/>
        <w:gridCol w:w="1275"/>
        <w:gridCol w:w="1190"/>
        <w:gridCol w:w="1275"/>
        <w:gridCol w:w="1190"/>
      </w:tblGrid>
      <w:tr w:rsidR="000C68E2" w:rsidRPr="00197F55" w:rsidTr="000C68E2">
        <w:trPr>
          <w:trHeight w:val="300"/>
        </w:trPr>
        <w:tc>
          <w:tcPr>
            <w:tcW w:w="1190" w:type="dxa"/>
            <w:noWrap/>
            <w:hideMark/>
          </w:tcPr>
          <w:p w:rsidR="000C68E2" w:rsidRPr="00197F55" w:rsidRDefault="000C68E2" w:rsidP="000C68E2">
            <w:proofErr w:type="spellStart"/>
            <w:r w:rsidRPr="00197F55">
              <w:t>tc</w:t>
            </w:r>
            <w:proofErr w:type="spellEnd"/>
            <w:r w:rsidRPr="00197F55">
              <w:t xml:space="preserve"> y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proofErr w:type="spellStart"/>
            <w:r w:rsidRPr="00197F55">
              <w:t>tc</w:t>
            </w:r>
            <w:proofErr w:type="spellEnd"/>
            <w:r w:rsidRPr="00197F55">
              <w:t xml:space="preserve"> k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proofErr w:type="spellStart"/>
            <w:r w:rsidRPr="00197F55">
              <w:t>tc</w:t>
            </w:r>
            <w:proofErr w:type="spellEnd"/>
            <w:r w:rsidRPr="00197F55">
              <w:t xml:space="preserve"> h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proofErr w:type="spellStart"/>
            <w:r w:rsidRPr="00197F55">
              <w:t>tc</w:t>
            </w:r>
            <w:proofErr w:type="spellEnd"/>
            <w:r w:rsidRPr="00197F55">
              <w:t xml:space="preserve"> A</w:t>
            </w:r>
          </w:p>
        </w:tc>
        <w:tc>
          <w:tcPr>
            <w:tcW w:w="1190" w:type="dxa"/>
            <w:noWrap/>
            <w:hideMark/>
          </w:tcPr>
          <w:p w:rsidR="000C68E2" w:rsidRPr="00197F55" w:rsidRDefault="000C68E2" w:rsidP="000C68E2">
            <w:r w:rsidRPr="00197F55">
              <w:t> 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r w:rsidRPr="00197F55">
              <w:t>(1/3)</w:t>
            </w:r>
            <w:proofErr w:type="spellStart"/>
            <w:r w:rsidRPr="00197F55">
              <w:t>tc</w:t>
            </w:r>
            <w:proofErr w:type="spellEnd"/>
            <w:r w:rsidRPr="00197F55">
              <w:t xml:space="preserve"> k+(2/3)</w:t>
            </w:r>
            <w:proofErr w:type="spellStart"/>
            <w:r w:rsidRPr="00197F55">
              <w:t>tch</w:t>
            </w:r>
            <w:proofErr w:type="spellEnd"/>
          </w:p>
        </w:tc>
        <w:tc>
          <w:tcPr>
            <w:tcW w:w="1190" w:type="dxa"/>
            <w:noWrap/>
            <w:hideMark/>
          </w:tcPr>
          <w:p w:rsidR="000C68E2" w:rsidRPr="00197F55" w:rsidRDefault="000C68E2" w:rsidP="000C68E2">
            <w:r w:rsidRPr="00197F55">
              <w:t> </w:t>
            </w:r>
          </w:p>
        </w:tc>
      </w:tr>
      <w:tr w:rsidR="000C68E2" w:rsidRPr="00197F55" w:rsidTr="000C68E2">
        <w:trPr>
          <w:trHeight w:val="300"/>
        </w:trPr>
        <w:tc>
          <w:tcPr>
            <w:tcW w:w="1190" w:type="dxa"/>
            <w:noWrap/>
            <w:hideMark/>
          </w:tcPr>
          <w:p w:rsidR="000C68E2" w:rsidRPr="00197F55" w:rsidRDefault="000C68E2" w:rsidP="000C68E2">
            <w:r w:rsidRPr="00197F55">
              <w:t>0,0497414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r w:rsidRPr="00197F55">
              <w:t>0,05993072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r w:rsidRPr="00197F55">
              <w:t>0,01239028</w:t>
            </w:r>
          </w:p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r w:rsidRPr="00197F55">
              <w:t>0,02150431</w:t>
            </w:r>
          </w:p>
        </w:tc>
        <w:tc>
          <w:tcPr>
            <w:tcW w:w="1190" w:type="dxa"/>
            <w:noWrap/>
            <w:hideMark/>
          </w:tcPr>
          <w:p w:rsidR="000C68E2" w:rsidRPr="00197F55" w:rsidRDefault="000C68E2" w:rsidP="000C68E2"/>
        </w:tc>
        <w:tc>
          <w:tcPr>
            <w:tcW w:w="1275" w:type="dxa"/>
            <w:noWrap/>
            <w:hideMark/>
          </w:tcPr>
          <w:p w:rsidR="000C68E2" w:rsidRPr="00197F55" w:rsidRDefault="000C68E2" w:rsidP="000C68E2">
            <w:r w:rsidRPr="00197F55">
              <w:t>0,02823709</w:t>
            </w:r>
          </w:p>
        </w:tc>
        <w:tc>
          <w:tcPr>
            <w:tcW w:w="1190" w:type="dxa"/>
            <w:noWrap/>
            <w:hideMark/>
          </w:tcPr>
          <w:p w:rsidR="000C68E2" w:rsidRPr="00197F55" w:rsidRDefault="000C68E2" w:rsidP="000C68E2"/>
        </w:tc>
      </w:tr>
    </w:tbl>
    <w:p w:rsidR="00FE42A7" w:rsidRDefault="00FE42A7"/>
    <w:sectPr w:rsidR="00FE42A7" w:rsidSect="0006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characterSpacingControl w:val="doNotCompress"/>
  <w:compat/>
  <w:rsids>
    <w:rsidRoot w:val="00E55844"/>
    <w:rsid w:val="000664BC"/>
    <w:rsid w:val="000C68E2"/>
    <w:rsid w:val="00197F55"/>
    <w:rsid w:val="00236820"/>
    <w:rsid w:val="002C6845"/>
    <w:rsid w:val="00364220"/>
    <w:rsid w:val="005B26C0"/>
    <w:rsid w:val="00802C85"/>
    <w:rsid w:val="008910D2"/>
    <w:rsid w:val="00E55844"/>
    <w:rsid w:val="00FE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B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ar\Documents\tarea%203%20crec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 3 crecimiento</Template>
  <TotalTime>33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Pilar</cp:lastModifiedBy>
  <cp:revision>2</cp:revision>
  <dcterms:created xsi:type="dcterms:W3CDTF">2019-06-25T18:06:00Z</dcterms:created>
  <dcterms:modified xsi:type="dcterms:W3CDTF">2019-06-25T18:43:00Z</dcterms:modified>
</cp:coreProperties>
</file>