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282A" w14:textId="07134D3D" w:rsidR="00B60007" w:rsidRPr="002D56B7" w:rsidRDefault="00BB5E1D" w:rsidP="00BB5E1D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D56B7">
        <w:rPr>
          <w:rFonts w:ascii="Times New Roman" w:hAnsi="Times New Roman" w:cs="Times New Roman"/>
          <w:b/>
          <w:bCs/>
          <w:sz w:val="20"/>
          <w:szCs w:val="20"/>
        </w:rPr>
        <w:t>Datos</w:t>
      </w:r>
    </w:p>
    <w:p w14:paraId="6FF37AE9" w14:textId="10279E07" w:rsidR="00BB5E1D" w:rsidRPr="002D56B7" w:rsidRDefault="00BB5E1D" w:rsidP="00BB5E1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D56B7">
        <w:rPr>
          <w:rFonts w:ascii="Times New Roman" w:hAnsi="Times New Roman" w:cs="Times New Roman"/>
          <w:sz w:val="20"/>
          <w:szCs w:val="20"/>
        </w:rPr>
        <w:t>Alunmo</w:t>
      </w:r>
      <w:proofErr w:type="spellEnd"/>
      <w:r w:rsidRPr="002D56B7">
        <w:rPr>
          <w:rFonts w:ascii="Times New Roman" w:hAnsi="Times New Roman" w:cs="Times New Roman"/>
          <w:sz w:val="20"/>
          <w:szCs w:val="20"/>
        </w:rPr>
        <w:t xml:space="preserve">/a: García </w:t>
      </w:r>
      <w:proofErr w:type="spellStart"/>
      <w:r w:rsidRPr="002D56B7">
        <w:rPr>
          <w:rFonts w:ascii="Times New Roman" w:hAnsi="Times New Roman" w:cs="Times New Roman"/>
          <w:sz w:val="20"/>
          <w:szCs w:val="20"/>
        </w:rPr>
        <w:t>Martínez,</w:t>
      </w:r>
      <w:proofErr w:type="spellEnd"/>
      <w:r w:rsidRPr="002D56B7">
        <w:rPr>
          <w:rFonts w:ascii="Times New Roman" w:hAnsi="Times New Roman" w:cs="Times New Roman"/>
          <w:sz w:val="20"/>
          <w:szCs w:val="20"/>
        </w:rPr>
        <w:t xml:space="preserve"> José Ángel.</w:t>
      </w:r>
    </w:p>
    <w:p w14:paraId="4916ED75" w14:textId="0118A5C6" w:rsidR="00BB5E1D" w:rsidRPr="002D56B7" w:rsidRDefault="00BB5E1D" w:rsidP="00BB5E1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D56B7">
        <w:rPr>
          <w:rFonts w:ascii="Times New Roman" w:hAnsi="Times New Roman" w:cs="Times New Roman"/>
          <w:sz w:val="20"/>
          <w:szCs w:val="20"/>
        </w:rPr>
        <w:t xml:space="preserve">Empresa: </w:t>
      </w:r>
      <w:hyperlink r:id="rId7" w:history="1">
        <w:r w:rsidRPr="002D56B7">
          <w:rPr>
            <w:rStyle w:val="Hipervnculo"/>
            <w:rFonts w:ascii="Times New Roman" w:hAnsi="Times New Roman" w:cs="Times New Roman"/>
            <w:sz w:val="20"/>
            <w:szCs w:val="20"/>
          </w:rPr>
          <w:t>Accenture</w:t>
        </w:r>
      </w:hyperlink>
      <w:r w:rsidRPr="002D56B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ABAFBB9" w14:textId="77777777" w:rsidR="00BB5E1D" w:rsidRPr="002D56B7" w:rsidRDefault="00BB5E1D" w:rsidP="00BB5E1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D56B7">
        <w:rPr>
          <w:rFonts w:ascii="Times New Roman" w:hAnsi="Times New Roman" w:cs="Times New Roman"/>
          <w:sz w:val="20"/>
          <w:szCs w:val="20"/>
        </w:rPr>
        <w:t>Sector y ámbito: Consultoría tecnológica y servicios digitales, actividad en España con presencia relevante en la Comunidad Valenciana.</w:t>
      </w:r>
    </w:p>
    <w:p w14:paraId="1230AB29" w14:textId="77777777" w:rsidR="00BB5E1D" w:rsidRPr="002D56B7" w:rsidRDefault="00BB5E1D" w:rsidP="00BB5E1D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D56B7">
        <w:rPr>
          <w:rFonts w:ascii="Times New Roman" w:hAnsi="Times New Roman" w:cs="Times New Roman"/>
          <w:sz w:val="20"/>
          <w:szCs w:val="20"/>
        </w:rPr>
        <w:t>Foco temático seleccionado: Talento, empleo de calidad y sostenibilidad corporativa.</w:t>
      </w:r>
    </w:p>
    <w:p w14:paraId="7A26C42F" w14:textId="77777777" w:rsidR="00BB5E1D" w:rsidRPr="002D56B7" w:rsidRDefault="00BB5E1D" w:rsidP="00BB5E1D">
      <w:pPr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D56B7">
        <w:rPr>
          <w:rFonts w:ascii="Times New Roman" w:hAnsi="Times New Roman" w:cs="Times New Roman"/>
          <w:b/>
          <w:bCs/>
          <w:sz w:val="20"/>
          <w:szCs w:val="20"/>
        </w:rPr>
        <w:t>Evidencias</w:t>
      </w:r>
    </w:p>
    <w:tbl>
      <w:tblPr>
        <w:tblStyle w:val="Tablaconcuadrcula"/>
        <w:tblW w:w="8494" w:type="dxa"/>
        <w:tblInd w:w="-10" w:type="dxa"/>
        <w:tblLook w:val="04A0" w:firstRow="1" w:lastRow="0" w:firstColumn="1" w:lastColumn="0" w:noHBand="0" w:noVBand="1"/>
      </w:tblPr>
      <w:tblGrid>
        <w:gridCol w:w="10"/>
        <w:gridCol w:w="1261"/>
        <w:gridCol w:w="10"/>
        <w:gridCol w:w="7203"/>
        <w:gridCol w:w="10"/>
      </w:tblGrid>
      <w:tr w:rsidR="00BB5E1D" w:rsidRPr="002D56B7" w14:paraId="1C8EC466" w14:textId="77777777" w:rsidTr="002D56B7">
        <w:trPr>
          <w:gridBefore w:val="1"/>
          <w:gridAfter w:val="1"/>
          <w:wBefore w:w="10" w:type="dxa"/>
          <w:wAfter w:w="10" w:type="dxa"/>
        </w:trPr>
        <w:tc>
          <w:tcPr>
            <w:tcW w:w="8474" w:type="dxa"/>
            <w:gridSpan w:val="3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</w:tcPr>
          <w:p w14:paraId="46A3FF87" w14:textId="2FBFA4A8" w:rsidR="00E95BE7" w:rsidRPr="002D56B7" w:rsidRDefault="00BB5E1D" w:rsidP="00BB5E1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56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Titular: </w:t>
            </w:r>
            <w:r w:rsidRPr="002D56B7">
              <w:rPr>
                <w:rFonts w:ascii="Times New Roman" w:hAnsi="Times New Roman" w:cs="Times New Roman"/>
                <w:sz w:val="20"/>
                <w:szCs w:val="20"/>
              </w:rPr>
              <w:t>Memoria de Accenture España 2025</w:t>
            </w:r>
            <w:r w:rsidR="00E95BE7" w:rsidRPr="002D56B7">
              <w:rPr>
                <w:rFonts w:ascii="Times New Roman" w:hAnsi="Times New Roman" w:cs="Times New Roman"/>
                <w:sz w:val="20"/>
                <w:szCs w:val="20"/>
              </w:rPr>
              <w:t>. La memoria recoge la actividad de la compañía en España y su estrategia vinculada a personas, innovación, ética, sostenibilidad y relación con la comunidad.</w:t>
            </w:r>
          </w:p>
        </w:tc>
      </w:tr>
      <w:tr w:rsidR="00BB5E1D" w:rsidRPr="002D56B7" w14:paraId="2B31DB10" w14:textId="77777777" w:rsidTr="002D56B7">
        <w:trPr>
          <w:gridBefore w:val="1"/>
          <w:gridAfter w:val="1"/>
          <w:wBefore w:w="10" w:type="dxa"/>
          <w:wAfter w:w="10" w:type="dxa"/>
        </w:trPr>
        <w:tc>
          <w:tcPr>
            <w:tcW w:w="8474" w:type="dxa"/>
            <w:gridSpan w:val="3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</w:tcPr>
          <w:p w14:paraId="2C11352D" w14:textId="614583A4" w:rsidR="00E95BE7" w:rsidRPr="002D56B7" w:rsidRDefault="00E95BE7" w:rsidP="00BB5E1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56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Fecha: </w:t>
            </w:r>
            <w:r w:rsidRPr="002D56B7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</w:tr>
      <w:tr w:rsidR="00BB5E1D" w:rsidRPr="002D56B7" w14:paraId="4D00DAD4" w14:textId="77777777" w:rsidTr="002D56B7">
        <w:trPr>
          <w:gridBefore w:val="1"/>
          <w:gridAfter w:val="1"/>
          <w:wBefore w:w="10" w:type="dxa"/>
          <w:wAfter w:w="10" w:type="dxa"/>
        </w:trPr>
        <w:tc>
          <w:tcPr>
            <w:tcW w:w="8474" w:type="dxa"/>
            <w:gridSpan w:val="3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</w:tcPr>
          <w:p w14:paraId="32ADB4E1" w14:textId="157970F2" w:rsidR="00BB5E1D" w:rsidRPr="002D56B7" w:rsidRDefault="00E95BE7" w:rsidP="00E95BE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2D56B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 xml:space="preserve">Enlace: </w:t>
            </w:r>
            <w:hyperlink r:id="rId8" w:history="1">
              <w:r w:rsidRPr="002D56B7">
                <w:rPr>
                  <w:rStyle w:val="Hipervnculo"/>
                  <w:rFonts w:ascii="Times New Roman" w:hAnsi="Times New Roman" w:cs="Times New Roman"/>
                  <w:sz w:val="20"/>
                  <w:szCs w:val="20"/>
                  <w:lang w:val="en-GB"/>
                </w:rPr>
                <w:t>https://www.accenture.com/content/dam/a</w:t>
              </w:r>
              <w:r w:rsidRPr="002D56B7">
                <w:rPr>
                  <w:rStyle w:val="Hipervnculo"/>
                  <w:rFonts w:ascii="Times New Roman" w:hAnsi="Times New Roman" w:cs="Times New Roman"/>
                  <w:sz w:val="20"/>
                  <w:szCs w:val="20"/>
                  <w:lang w:val="en-GB"/>
                </w:rPr>
                <w:t>c</w:t>
              </w:r>
              <w:r w:rsidRPr="002D56B7">
                <w:rPr>
                  <w:rStyle w:val="Hipervnculo"/>
                  <w:rFonts w:ascii="Times New Roman" w:hAnsi="Times New Roman" w:cs="Times New Roman"/>
                  <w:sz w:val="20"/>
                  <w:szCs w:val="20"/>
                  <w:lang w:val="en-GB"/>
                </w:rPr>
                <w:t>centure/final/accenture-com/document-fy26/q3/FY25-Memoria-Espana-FINAL.pdf#zoom=40</w:t>
              </w:r>
            </w:hyperlink>
            <w:r w:rsidRPr="002D56B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 xml:space="preserve"> </w:t>
            </w:r>
          </w:p>
        </w:tc>
      </w:tr>
      <w:tr w:rsidR="00BB5E1D" w:rsidRPr="002D56B7" w14:paraId="561DF71C" w14:textId="77777777" w:rsidTr="002D56B7">
        <w:trPr>
          <w:gridBefore w:val="1"/>
          <w:gridAfter w:val="1"/>
          <w:wBefore w:w="10" w:type="dxa"/>
          <w:wAfter w:w="10" w:type="dxa"/>
        </w:trPr>
        <w:tc>
          <w:tcPr>
            <w:tcW w:w="8474" w:type="dxa"/>
            <w:gridSpan w:val="3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</w:tcPr>
          <w:p w14:paraId="34D7CE9C" w14:textId="7105DF44" w:rsidR="00BB5E1D" w:rsidRPr="002D56B7" w:rsidRDefault="00E95BE7" w:rsidP="00BB5E1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D56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ODS relacionados: </w:t>
            </w:r>
            <w:r w:rsidRPr="002D56B7">
              <w:rPr>
                <w:rFonts w:ascii="Times New Roman" w:hAnsi="Times New Roman" w:cs="Times New Roman"/>
                <w:sz w:val="20"/>
                <w:szCs w:val="20"/>
              </w:rPr>
              <w:t>ODS 4, ODS 8, ODS 9.</w:t>
            </w:r>
          </w:p>
        </w:tc>
      </w:tr>
      <w:tr w:rsidR="00E95BE7" w:rsidRPr="002D56B7" w14:paraId="7F1F01CA" w14:textId="77777777" w:rsidTr="002D56B7">
        <w:trPr>
          <w:gridBefore w:val="1"/>
          <w:gridAfter w:val="1"/>
          <w:wBefore w:w="10" w:type="dxa"/>
          <w:wAfter w:w="10" w:type="dxa"/>
        </w:trPr>
        <w:tc>
          <w:tcPr>
            <w:tcW w:w="1271" w:type="dxa"/>
            <w:gridSpan w:val="2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</w:tcPr>
          <w:p w14:paraId="3B64C01D" w14:textId="77777777" w:rsidR="00E95BE7" w:rsidRPr="002D56B7" w:rsidRDefault="00E95BE7" w:rsidP="00BB5E1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99621B6" w14:textId="3A822CAA" w:rsidR="00E95BE7" w:rsidRPr="002D56B7" w:rsidRDefault="00E95BE7" w:rsidP="00BB5E1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D56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Meta ODS</w:t>
            </w:r>
          </w:p>
          <w:p w14:paraId="462BC67B" w14:textId="2454859A" w:rsidR="00E95BE7" w:rsidRPr="002D56B7" w:rsidRDefault="00E95BE7" w:rsidP="00BB5E1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56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203" w:type="dxa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</w:tcPr>
          <w:p w14:paraId="0F6AA416" w14:textId="070F865D" w:rsidR="00E95BE7" w:rsidRPr="002D56B7" w:rsidRDefault="00E95BE7" w:rsidP="00BB5E1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56B7">
              <w:rPr>
                <w:rFonts w:ascii="Times New Roman" w:hAnsi="Times New Roman" w:cs="Times New Roman"/>
                <w:sz w:val="20"/>
                <w:szCs w:val="20"/>
              </w:rPr>
              <w:t>4.4: Competencias técnicas y profesionales.</w:t>
            </w:r>
          </w:p>
          <w:p w14:paraId="5939EC99" w14:textId="6811D6CF" w:rsidR="00E95BE7" w:rsidRPr="002D56B7" w:rsidRDefault="00E95BE7" w:rsidP="00BB5E1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56B7">
              <w:rPr>
                <w:rFonts w:ascii="Times New Roman" w:hAnsi="Times New Roman" w:cs="Times New Roman"/>
                <w:sz w:val="20"/>
                <w:szCs w:val="20"/>
              </w:rPr>
              <w:t>8.5: Empleo pleno y productivo y trabajo decente.</w:t>
            </w:r>
          </w:p>
          <w:p w14:paraId="569DCF1A" w14:textId="2FF843C4" w:rsidR="00E95BE7" w:rsidRPr="002D56B7" w:rsidRDefault="00E95BE7" w:rsidP="00BB5E1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56B7">
              <w:rPr>
                <w:rFonts w:ascii="Times New Roman" w:hAnsi="Times New Roman" w:cs="Times New Roman"/>
                <w:sz w:val="20"/>
                <w:szCs w:val="20"/>
              </w:rPr>
              <w:t xml:space="preserve">9.5: Capacidad tecnológica e innovación.  </w:t>
            </w:r>
          </w:p>
        </w:tc>
      </w:tr>
      <w:tr w:rsidR="00E95BE7" w:rsidRPr="002D56B7" w14:paraId="02C19791" w14:textId="77777777" w:rsidTr="002D56B7">
        <w:trPr>
          <w:gridBefore w:val="1"/>
          <w:gridAfter w:val="1"/>
          <w:wBefore w:w="10" w:type="dxa"/>
          <w:wAfter w:w="10" w:type="dxa"/>
        </w:trPr>
        <w:tc>
          <w:tcPr>
            <w:tcW w:w="8474" w:type="dxa"/>
            <w:gridSpan w:val="3"/>
            <w:tcBorders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</w:tcPr>
          <w:p w14:paraId="50FFDCAC" w14:textId="23A9547C" w:rsidR="00E95BE7" w:rsidRPr="002D56B7" w:rsidRDefault="00D43F6E" w:rsidP="00BB5E1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56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Alineación jurídica:</w:t>
            </w:r>
            <w:r w:rsidRPr="002D56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2D56B7">
              <w:rPr>
                <w:rFonts w:ascii="Times New Roman" w:hAnsi="Times New Roman" w:cs="Times New Roman"/>
                <w:sz w:val="20"/>
                <w:szCs w:val="20"/>
              </w:rPr>
              <w:t>EINF / CSRD | Relación indirecta con el Pacto Verde Europeo por la integración de sostenibilidad y gobernanza empresarial.</w:t>
            </w:r>
          </w:p>
        </w:tc>
      </w:tr>
      <w:tr w:rsidR="00E95BE7" w:rsidRPr="002D56B7" w14:paraId="1518FF38" w14:textId="77777777" w:rsidTr="002D56B7">
        <w:trPr>
          <w:gridBefore w:val="1"/>
          <w:gridAfter w:val="1"/>
          <w:wBefore w:w="10" w:type="dxa"/>
          <w:wAfter w:w="10" w:type="dxa"/>
        </w:trPr>
        <w:tc>
          <w:tcPr>
            <w:tcW w:w="8474" w:type="dxa"/>
            <w:gridSpan w:val="3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</w:tcPr>
          <w:p w14:paraId="470E928D" w14:textId="1EB456F5" w:rsidR="00E95BE7" w:rsidRPr="002D56B7" w:rsidRDefault="00D43F6E" w:rsidP="00BB5E1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56B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D56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Indicador/KPI citado:</w:t>
            </w:r>
            <w:r w:rsidRPr="002D56B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D56B7">
              <w:rPr>
                <w:rFonts w:ascii="Times New Roman" w:hAnsi="Times New Roman" w:cs="Times New Roman"/>
                <w:sz w:val="20"/>
                <w:szCs w:val="20"/>
              </w:rPr>
              <w:t xml:space="preserve">Dependerá del apartado que cites dentro del </w:t>
            </w:r>
            <w:hyperlink r:id="rId9" w:anchor="zoom=40" w:history="1">
              <w:r w:rsidRPr="002D56B7">
                <w:rPr>
                  <w:rStyle w:val="Hipervnculo"/>
                  <w:rFonts w:ascii="Times New Roman" w:hAnsi="Times New Roman" w:cs="Times New Roman"/>
                  <w:sz w:val="20"/>
                  <w:szCs w:val="20"/>
                </w:rPr>
                <w:t>PDF</w:t>
              </w:r>
            </w:hyperlink>
            <w:r w:rsidRPr="002D56B7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2D56B7">
              <w:rPr>
                <w:rFonts w:ascii="Times New Roman" w:hAnsi="Times New Roman" w:cs="Times New Roman"/>
                <w:sz w:val="20"/>
                <w:szCs w:val="20"/>
              </w:rPr>
              <w:t xml:space="preserve"> normalmente puedes usar datos de:</w:t>
            </w:r>
            <w:r w:rsidRPr="002D56B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D56B7">
              <w:rPr>
                <w:rFonts w:ascii="Times New Roman" w:hAnsi="Times New Roman" w:cs="Times New Roman"/>
                <w:sz w:val="20"/>
                <w:szCs w:val="20"/>
              </w:rPr>
              <w:t>empleados/as,</w:t>
            </w:r>
            <w:r w:rsidRPr="002D56B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D56B7">
              <w:rPr>
                <w:rFonts w:ascii="Times New Roman" w:hAnsi="Times New Roman" w:cs="Times New Roman"/>
                <w:sz w:val="20"/>
                <w:szCs w:val="20"/>
              </w:rPr>
              <w:t>formación,</w:t>
            </w:r>
            <w:r w:rsidRPr="002D56B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D56B7">
              <w:rPr>
                <w:rFonts w:ascii="Times New Roman" w:hAnsi="Times New Roman" w:cs="Times New Roman"/>
                <w:sz w:val="20"/>
                <w:szCs w:val="20"/>
              </w:rPr>
              <w:t>diversidad,</w:t>
            </w:r>
            <w:r w:rsidRPr="002D56B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D56B7">
              <w:rPr>
                <w:rFonts w:ascii="Times New Roman" w:hAnsi="Times New Roman" w:cs="Times New Roman"/>
                <w:sz w:val="20"/>
                <w:szCs w:val="20"/>
              </w:rPr>
              <w:t>huella de carbono,</w:t>
            </w:r>
            <w:r w:rsidRPr="002D56B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D56B7">
              <w:rPr>
                <w:rFonts w:ascii="Times New Roman" w:hAnsi="Times New Roman" w:cs="Times New Roman"/>
                <w:sz w:val="20"/>
                <w:szCs w:val="20"/>
              </w:rPr>
              <w:t>voluntariado,</w:t>
            </w:r>
            <w:r w:rsidRPr="002D56B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D56B7">
              <w:rPr>
                <w:rFonts w:ascii="Times New Roman" w:hAnsi="Times New Roman" w:cs="Times New Roman"/>
                <w:sz w:val="20"/>
                <w:szCs w:val="20"/>
              </w:rPr>
              <w:t>gobierno corporativo.</w:t>
            </w:r>
          </w:p>
        </w:tc>
      </w:tr>
      <w:tr w:rsidR="00D43F6E" w:rsidRPr="002D56B7" w14:paraId="172C1CC7" w14:textId="77777777" w:rsidTr="00164B14">
        <w:trPr>
          <w:gridBefore w:val="1"/>
          <w:wBefore w:w="10" w:type="dxa"/>
          <w:trHeight w:val="272"/>
        </w:trPr>
        <w:tc>
          <w:tcPr>
            <w:tcW w:w="8484" w:type="dxa"/>
            <w:gridSpan w:val="4"/>
            <w:tcBorders>
              <w:top w:val="single" w:sz="12" w:space="0" w:color="A02B93" w:themeColor="accent5"/>
              <w:left w:val="single" w:sz="12" w:space="0" w:color="A02B93" w:themeColor="accent5"/>
              <w:bottom w:val="single" w:sz="12" w:space="0" w:color="A02B93" w:themeColor="accent5"/>
              <w:right w:val="single" w:sz="12" w:space="0" w:color="A02B93" w:themeColor="accent5"/>
            </w:tcBorders>
          </w:tcPr>
          <w:p w14:paraId="2B19C876" w14:textId="70C6FC2A" w:rsidR="00D43F6E" w:rsidRPr="002D56B7" w:rsidRDefault="00D43F6E" w:rsidP="007977D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D56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Titular: </w:t>
            </w:r>
            <w:hyperlink r:id="rId10" w:history="1">
              <w:r w:rsidR="007977D6" w:rsidRPr="002D56B7">
                <w:rPr>
                  <w:rStyle w:val="Hipervnculo"/>
                  <w:rFonts w:ascii="Times New Roman" w:hAnsi="Times New Roman" w:cs="Times New Roman"/>
                  <w:sz w:val="20"/>
                  <w:szCs w:val="20"/>
                </w:rPr>
                <w:t>Accenture</w:t>
              </w:r>
            </w:hyperlink>
            <w:r w:rsidR="007977D6" w:rsidRPr="002D56B7">
              <w:rPr>
                <w:rFonts w:ascii="Times New Roman" w:hAnsi="Times New Roman" w:cs="Times New Roman"/>
                <w:sz w:val="20"/>
                <w:szCs w:val="20"/>
              </w:rPr>
              <w:t xml:space="preserve"> impulsa el cumplimiento de ESG y CSRD con herramientas de IA generativa.</w:t>
            </w:r>
          </w:p>
        </w:tc>
      </w:tr>
      <w:tr w:rsidR="00D43F6E" w:rsidRPr="002D56B7" w14:paraId="725D6511" w14:textId="77777777" w:rsidTr="00164B14">
        <w:trPr>
          <w:gridBefore w:val="1"/>
          <w:wBefore w:w="10" w:type="dxa"/>
          <w:trHeight w:val="262"/>
        </w:trPr>
        <w:tc>
          <w:tcPr>
            <w:tcW w:w="8484" w:type="dxa"/>
            <w:gridSpan w:val="4"/>
            <w:tcBorders>
              <w:top w:val="single" w:sz="12" w:space="0" w:color="A02B93" w:themeColor="accent5"/>
              <w:left w:val="single" w:sz="12" w:space="0" w:color="A02B93" w:themeColor="accent5"/>
              <w:bottom w:val="single" w:sz="12" w:space="0" w:color="A02B93" w:themeColor="accent5"/>
              <w:right w:val="single" w:sz="12" w:space="0" w:color="A02B93" w:themeColor="accent5"/>
            </w:tcBorders>
          </w:tcPr>
          <w:p w14:paraId="1258C3D4" w14:textId="71BAC15D" w:rsidR="00D43F6E" w:rsidRPr="002D56B7" w:rsidRDefault="00D43F6E" w:rsidP="007977D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D56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Fecha:</w:t>
            </w:r>
            <w:r w:rsidR="007977D6" w:rsidRPr="002D56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7977D6" w:rsidRPr="002D56B7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</w:tr>
      <w:tr w:rsidR="00D43F6E" w:rsidRPr="002D56B7" w14:paraId="59011D77" w14:textId="77777777" w:rsidTr="00164B14">
        <w:trPr>
          <w:gridBefore w:val="1"/>
          <w:wBefore w:w="10" w:type="dxa"/>
          <w:trHeight w:val="272"/>
        </w:trPr>
        <w:tc>
          <w:tcPr>
            <w:tcW w:w="8484" w:type="dxa"/>
            <w:gridSpan w:val="4"/>
            <w:tcBorders>
              <w:top w:val="single" w:sz="12" w:space="0" w:color="A02B93" w:themeColor="accent5"/>
              <w:left w:val="single" w:sz="12" w:space="0" w:color="A02B93" w:themeColor="accent5"/>
              <w:bottom w:val="single" w:sz="12" w:space="0" w:color="A02B93" w:themeColor="accent5"/>
              <w:right w:val="single" w:sz="12" w:space="0" w:color="A02B93" w:themeColor="accent5"/>
            </w:tcBorders>
          </w:tcPr>
          <w:p w14:paraId="03FB4134" w14:textId="5B5947FF" w:rsidR="00D43F6E" w:rsidRPr="002D56B7" w:rsidRDefault="00D43F6E" w:rsidP="007977D6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D56B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Enlace:</w:t>
            </w:r>
            <w:r w:rsidR="007977D6" w:rsidRPr="002D56B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 xml:space="preserve"> </w:t>
            </w:r>
            <w:hyperlink r:id="rId11" w:history="1">
              <w:r w:rsidR="007977D6" w:rsidRPr="002D56B7">
                <w:rPr>
                  <w:rStyle w:val="Hipervnculo"/>
                  <w:rFonts w:ascii="Times New Roman" w:hAnsi="Times New Roman" w:cs="Times New Roman"/>
                  <w:sz w:val="20"/>
                  <w:szCs w:val="20"/>
                  <w:lang w:val="en-GB"/>
                </w:rPr>
                <w:t>https://www.accenture.com/es-es/services/sust</w:t>
              </w:r>
              <w:r w:rsidR="007977D6" w:rsidRPr="002D56B7">
                <w:rPr>
                  <w:rStyle w:val="Hipervnculo"/>
                  <w:rFonts w:ascii="Times New Roman" w:hAnsi="Times New Roman" w:cs="Times New Roman"/>
                  <w:sz w:val="20"/>
                  <w:szCs w:val="20"/>
                  <w:lang w:val="en-GB"/>
                </w:rPr>
                <w:t>a</w:t>
              </w:r>
              <w:r w:rsidR="007977D6" w:rsidRPr="002D56B7">
                <w:rPr>
                  <w:rStyle w:val="Hipervnculo"/>
                  <w:rFonts w:ascii="Times New Roman" w:hAnsi="Times New Roman" w:cs="Times New Roman"/>
                  <w:sz w:val="20"/>
                  <w:szCs w:val="20"/>
                  <w:lang w:val="en-GB"/>
                </w:rPr>
                <w:t>inability/sustainability-measurement</w:t>
              </w:r>
            </w:hyperlink>
            <w:r w:rsidR="007977D6" w:rsidRPr="002D56B7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</w:tc>
      </w:tr>
      <w:tr w:rsidR="00D43F6E" w:rsidRPr="002D56B7" w14:paraId="59BD049E" w14:textId="77777777" w:rsidTr="00164B14">
        <w:trPr>
          <w:gridBefore w:val="1"/>
          <w:wBefore w:w="10" w:type="dxa"/>
          <w:trHeight w:val="262"/>
        </w:trPr>
        <w:tc>
          <w:tcPr>
            <w:tcW w:w="8484" w:type="dxa"/>
            <w:gridSpan w:val="4"/>
            <w:tcBorders>
              <w:top w:val="single" w:sz="12" w:space="0" w:color="A02B93" w:themeColor="accent5"/>
              <w:left w:val="single" w:sz="12" w:space="0" w:color="A02B93" w:themeColor="accent5"/>
              <w:bottom w:val="single" w:sz="12" w:space="0" w:color="A02B93" w:themeColor="accent5"/>
              <w:right w:val="single" w:sz="12" w:space="0" w:color="A02B93" w:themeColor="accent5"/>
            </w:tcBorders>
          </w:tcPr>
          <w:p w14:paraId="1AD43334" w14:textId="486ADACC" w:rsidR="00D43F6E" w:rsidRPr="002D56B7" w:rsidRDefault="00D43F6E" w:rsidP="007977D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D56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ODS relacionados:</w:t>
            </w:r>
            <w:r w:rsidR="007977D6" w:rsidRPr="002D56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7977D6" w:rsidRPr="002D56B7">
              <w:rPr>
                <w:rFonts w:ascii="Times New Roman" w:hAnsi="Times New Roman" w:cs="Times New Roman"/>
                <w:sz w:val="20"/>
                <w:szCs w:val="20"/>
              </w:rPr>
              <w:t>ODS 9</w:t>
            </w:r>
            <w:r w:rsidR="007977D6" w:rsidRPr="002D56B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7977D6" w:rsidRPr="002D56B7">
              <w:rPr>
                <w:rFonts w:ascii="Times New Roman" w:hAnsi="Times New Roman" w:cs="Times New Roman"/>
                <w:sz w:val="20"/>
                <w:szCs w:val="20"/>
              </w:rPr>
              <w:t>ODS 12</w:t>
            </w:r>
            <w:r w:rsidR="007977D6" w:rsidRPr="002D56B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7977D6" w:rsidRPr="002D56B7">
              <w:rPr>
                <w:rFonts w:ascii="Times New Roman" w:hAnsi="Times New Roman" w:cs="Times New Roman"/>
                <w:sz w:val="20"/>
                <w:szCs w:val="20"/>
              </w:rPr>
              <w:t>ODS 13</w:t>
            </w:r>
          </w:p>
        </w:tc>
      </w:tr>
      <w:tr w:rsidR="00D43F6E" w:rsidRPr="002D56B7" w14:paraId="609606C5" w14:textId="77777777" w:rsidTr="00164B14">
        <w:trPr>
          <w:gridBefore w:val="1"/>
          <w:wBefore w:w="10" w:type="dxa"/>
          <w:trHeight w:val="272"/>
        </w:trPr>
        <w:tc>
          <w:tcPr>
            <w:tcW w:w="1261" w:type="dxa"/>
            <w:tcBorders>
              <w:top w:val="single" w:sz="12" w:space="0" w:color="A02B93" w:themeColor="accent5"/>
              <w:left w:val="single" w:sz="12" w:space="0" w:color="A02B93" w:themeColor="accent5"/>
              <w:bottom w:val="single" w:sz="12" w:space="0" w:color="A02B93" w:themeColor="accent5"/>
              <w:right w:val="single" w:sz="12" w:space="0" w:color="A02B93" w:themeColor="accent5"/>
            </w:tcBorders>
          </w:tcPr>
          <w:p w14:paraId="4D277A8B" w14:textId="468369E4" w:rsidR="00D43F6E" w:rsidRPr="002D56B7" w:rsidRDefault="00D43F6E" w:rsidP="007977D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D56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Meta ODS</w:t>
            </w:r>
          </w:p>
        </w:tc>
        <w:tc>
          <w:tcPr>
            <w:tcW w:w="7223" w:type="dxa"/>
            <w:gridSpan w:val="3"/>
            <w:tcBorders>
              <w:top w:val="single" w:sz="12" w:space="0" w:color="A02B93" w:themeColor="accent5"/>
              <w:left w:val="single" w:sz="12" w:space="0" w:color="A02B93" w:themeColor="accent5"/>
              <w:bottom w:val="single" w:sz="12" w:space="0" w:color="A02B93" w:themeColor="accent5"/>
              <w:right w:val="single" w:sz="12" w:space="0" w:color="A02B93" w:themeColor="accent5"/>
            </w:tcBorders>
          </w:tcPr>
          <w:p w14:paraId="06B00BB9" w14:textId="77777777" w:rsidR="007977D6" w:rsidRPr="002D56B7" w:rsidRDefault="007977D6" w:rsidP="007977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56B7">
              <w:rPr>
                <w:rFonts w:ascii="Times New Roman" w:hAnsi="Times New Roman" w:cs="Times New Roman"/>
                <w:sz w:val="20"/>
                <w:szCs w:val="20"/>
              </w:rPr>
              <w:t>12.6: adoptar prácticas sostenibles e incorporar información de sostenibilidad</w:t>
            </w:r>
          </w:p>
          <w:p w14:paraId="4366FA1D" w14:textId="5919A023" w:rsidR="00D43F6E" w:rsidRPr="002D56B7" w:rsidRDefault="007977D6" w:rsidP="007977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56B7">
              <w:rPr>
                <w:rFonts w:ascii="Times New Roman" w:hAnsi="Times New Roman" w:cs="Times New Roman"/>
                <w:sz w:val="20"/>
                <w:szCs w:val="20"/>
              </w:rPr>
              <w:t>13.2: integrar medidas climáticas en la estrategia</w:t>
            </w:r>
          </w:p>
        </w:tc>
      </w:tr>
      <w:tr w:rsidR="00D43F6E" w:rsidRPr="002D56B7" w14:paraId="594618C0" w14:textId="77777777" w:rsidTr="00164B14">
        <w:trPr>
          <w:gridBefore w:val="1"/>
          <w:wBefore w:w="10" w:type="dxa"/>
          <w:trHeight w:val="272"/>
        </w:trPr>
        <w:tc>
          <w:tcPr>
            <w:tcW w:w="8484" w:type="dxa"/>
            <w:gridSpan w:val="4"/>
            <w:tcBorders>
              <w:top w:val="single" w:sz="12" w:space="0" w:color="A02B93" w:themeColor="accent5"/>
              <w:left w:val="single" w:sz="12" w:space="0" w:color="A02B93" w:themeColor="accent5"/>
              <w:bottom w:val="single" w:sz="12" w:space="0" w:color="A02B93" w:themeColor="accent5"/>
              <w:right w:val="single" w:sz="12" w:space="0" w:color="A02B93" w:themeColor="accent5"/>
            </w:tcBorders>
          </w:tcPr>
          <w:p w14:paraId="768EA468" w14:textId="772552A4" w:rsidR="00D43F6E" w:rsidRPr="002D56B7" w:rsidRDefault="00D43F6E" w:rsidP="007977D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D56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Alineación jurídica:</w:t>
            </w:r>
            <w:r w:rsidR="002D56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2D56B7" w:rsidRPr="002D56B7">
              <w:rPr>
                <w:rFonts w:ascii="Times New Roman" w:hAnsi="Times New Roman" w:cs="Times New Roman"/>
                <w:sz w:val="20"/>
                <w:szCs w:val="20"/>
              </w:rPr>
              <w:t>CSRD / EINF | Relación con el Pacto Verde Europeo por la integración de sostenibilidad y gobernanza empresarial.</w:t>
            </w:r>
          </w:p>
        </w:tc>
      </w:tr>
      <w:tr w:rsidR="00D43F6E" w:rsidRPr="002D56B7" w14:paraId="66AE4CC0" w14:textId="77777777" w:rsidTr="00164B14">
        <w:trPr>
          <w:gridBefore w:val="1"/>
          <w:wBefore w:w="10" w:type="dxa"/>
          <w:trHeight w:val="262"/>
        </w:trPr>
        <w:tc>
          <w:tcPr>
            <w:tcW w:w="8484" w:type="dxa"/>
            <w:gridSpan w:val="4"/>
            <w:tcBorders>
              <w:top w:val="single" w:sz="12" w:space="0" w:color="A02B93" w:themeColor="accent5"/>
              <w:left w:val="single" w:sz="12" w:space="0" w:color="A02B93" w:themeColor="accent5"/>
              <w:bottom w:val="single" w:sz="12" w:space="0" w:color="A02B93" w:themeColor="accent5"/>
              <w:right w:val="single" w:sz="12" w:space="0" w:color="A02B93" w:themeColor="accent5"/>
            </w:tcBorders>
          </w:tcPr>
          <w:p w14:paraId="71305809" w14:textId="162680FC" w:rsidR="00D43F6E" w:rsidRPr="002D56B7" w:rsidRDefault="00D43F6E" w:rsidP="007977D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D56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Indicador/KPI citado:</w:t>
            </w:r>
            <w:r w:rsidR="002D56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2D56B7">
              <w:rPr>
                <w:rFonts w:ascii="Times New Roman" w:hAnsi="Times New Roman" w:cs="Times New Roman"/>
                <w:sz w:val="20"/>
                <w:szCs w:val="20"/>
              </w:rPr>
              <w:t>herramientas de IA generativas aplicadas al reporte de ESG y al cumplimiento CSRD.</w:t>
            </w:r>
          </w:p>
        </w:tc>
      </w:tr>
      <w:tr w:rsidR="002D56B7" w14:paraId="5651026B" w14:textId="77777777" w:rsidTr="00495857">
        <w:tc>
          <w:tcPr>
            <w:tcW w:w="8494" w:type="dxa"/>
            <w:gridSpan w:val="5"/>
            <w:tcBorders>
              <w:left w:val="single" w:sz="12" w:space="0" w:color="0F9ED5" w:themeColor="accent4"/>
              <w:bottom w:val="single" w:sz="12" w:space="0" w:color="0F9ED5" w:themeColor="accent4"/>
              <w:right w:val="single" w:sz="12" w:space="0" w:color="0F9ED5" w:themeColor="accent4"/>
            </w:tcBorders>
          </w:tcPr>
          <w:p w14:paraId="49F1A4ED" w14:textId="7F7E02BF" w:rsidR="002D56B7" w:rsidRPr="00164B14" w:rsidRDefault="00495857" w:rsidP="00164B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Titular:</w:t>
            </w:r>
            <w:r w:rsidR="00164B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164B14">
              <w:rPr>
                <w:rFonts w:ascii="Times New Roman" w:hAnsi="Times New Roman" w:cs="Times New Roman"/>
                <w:sz w:val="20"/>
                <w:szCs w:val="20"/>
              </w:rPr>
              <w:t>Accenture y su compromiso con la sostenibilidad y la descarbonización.</w:t>
            </w:r>
          </w:p>
        </w:tc>
      </w:tr>
      <w:tr w:rsidR="002D56B7" w14:paraId="5493B242" w14:textId="77777777" w:rsidTr="00495857">
        <w:tc>
          <w:tcPr>
            <w:tcW w:w="8494" w:type="dxa"/>
            <w:gridSpan w:val="5"/>
            <w:tcBorders>
              <w:top w:val="single" w:sz="12" w:space="0" w:color="0F9ED5" w:themeColor="accent4"/>
              <w:left w:val="single" w:sz="12" w:space="0" w:color="0F9ED5" w:themeColor="accent4"/>
              <w:bottom w:val="single" w:sz="12" w:space="0" w:color="0F9ED5" w:themeColor="accent4"/>
              <w:right w:val="single" w:sz="12" w:space="0" w:color="0F9ED5" w:themeColor="accent4"/>
            </w:tcBorders>
          </w:tcPr>
          <w:p w14:paraId="7CD6B967" w14:textId="6067B7FD" w:rsidR="002D56B7" w:rsidRDefault="00495857" w:rsidP="00164B1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Fecha: </w:t>
            </w:r>
            <w:r w:rsidRPr="00495857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</w:tr>
      <w:tr w:rsidR="002D56B7" w:rsidRPr="00164B14" w14:paraId="11FD58B0" w14:textId="77777777" w:rsidTr="00495857">
        <w:tc>
          <w:tcPr>
            <w:tcW w:w="8494" w:type="dxa"/>
            <w:gridSpan w:val="5"/>
            <w:tcBorders>
              <w:top w:val="single" w:sz="12" w:space="0" w:color="0F9ED5" w:themeColor="accent4"/>
              <w:left w:val="single" w:sz="12" w:space="0" w:color="0F9ED5" w:themeColor="accent4"/>
              <w:bottom w:val="single" w:sz="12" w:space="0" w:color="0F9ED5" w:themeColor="accent4"/>
              <w:right w:val="single" w:sz="12" w:space="0" w:color="0F9ED5" w:themeColor="accent4"/>
            </w:tcBorders>
          </w:tcPr>
          <w:p w14:paraId="412A61F9" w14:textId="4D9504D1" w:rsidR="002D56B7" w:rsidRPr="00164B14" w:rsidRDefault="00495857" w:rsidP="00164B1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164B1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 xml:space="preserve">Enlace: </w:t>
            </w:r>
            <w:hyperlink r:id="rId12" w:history="1">
              <w:r w:rsidR="00164B14" w:rsidRPr="001B0392">
                <w:rPr>
                  <w:rStyle w:val="Hipervnculo"/>
                  <w:rFonts w:ascii="Times New Roman" w:hAnsi="Times New Roman" w:cs="Times New Roman"/>
                  <w:sz w:val="20"/>
                  <w:szCs w:val="20"/>
                  <w:lang w:val="en-GB"/>
                </w:rPr>
                <w:t>https://www.accenture.com/es-es/about/company/integrated-reporting-sustainability</w:t>
              </w:r>
            </w:hyperlink>
            <w:r w:rsidR="00164B1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</w:tc>
      </w:tr>
      <w:tr w:rsidR="002D56B7" w14:paraId="191F1ADE" w14:textId="77777777" w:rsidTr="00495857">
        <w:tc>
          <w:tcPr>
            <w:tcW w:w="8494" w:type="dxa"/>
            <w:gridSpan w:val="5"/>
            <w:tcBorders>
              <w:top w:val="single" w:sz="12" w:space="0" w:color="0F9ED5" w:themeColor="accent4"/>
              <w:left w:val="single" w:sz="12" w:space="0" w:color="0F9ED5" w:themeColor="accent4"/>
              <w:bottom w:val="single" w:sz="12" w:space="0" w:color="0F9ED5" w:themeColor="accent4"/>
              <w:right w:val="single" w:sz="12" w:space="0" w:color="0F9ED5" w:themeColor="accent4"/>
            </w:tcBorders>
          </w:tcPr>
          <w:p w14:paraId="3F401980" w14:textId="69DB4686" w:rsidR="002D56B7" w:rsidRDefault="00495857" w:rsidP="00164B1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ODS relacionados:</w:t>
            </w:r>
            <w:r w:rsidR="00164B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164B14" w:rsidRPr="00164B14">
              <w:rPr>
                <w:rFonts w:ascii="Times New Roman" w:hAnsi="Times New Roman" w:cs="Times New Roman"/>
                <w:sz w:val="20"/>
                <w:szCs w:val="20"/>
              </w:rPr>
              <w:t>ODS 7, ODS 9, ODS 13</w:t>
            </w:r>
          </w:p>
        </w:tc>
      </w:tr>
      <w:tr w:rsidR="00164B14" w14:paraId="67C12ACA" w14:textId="77777777" w:rsidTr="00164B14">
        <w:tc>
          <w:tcPr>
            <w:tcW w:w="1271" w:type="dxa"/>
            <w:gridSpan w:val="2"/>
            <w:tcBorders>
              <w:top w:val="single" w:sz="12" w:space="0" w:color="0F9ED5" w:themeColor="accent4"/>
              <w:left w:val="single" w:sz="12" w:space="0" w:color="0F9ED5" w:themeColor="accent4"/>
              <w:bottom w:val="single" w:sz="12" w:space="0" w:color="0F9ED5" w:themeColor="accent4"/>
              <w:right w:val="single" w:sz="12" w:space="0" w:color="0F9ED5" w:themeColor="accent4"/>
            </w:tcBorders>
          </w:tcPr>
          <w:p w14:paraId="07A2340F" w14:textId="77777777" w:rsidR="00164B14" w:rsidRDefault="00164B14" w:rsidP="00BB5E1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F191047" w14:textId="73470BF2" w:rsidR="00164B14" w:rsidRDefault="00164B14" w:rsidP="00BB5E1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Meta ODS:</w:t>
            </w:r>
          </w:p>
        </w:tc>
        <w:tc>
          <w:tcPr>
            <w:tcW w:w="7223" w:type="dxa"/>
            <w:gridSpan w:val="3"/>
            <w:tcBorders>
              <w:top w:val="single" w:sz="12" w:space="0" w:color="0F9ED5" w:themeColor="accent4"/>
              <w:left w:val="single" w:sz="12" w:space="0" w:color="0F9ED5" w:themeColor="accent4"/>
              <w:bottom w:val="single" w:sz="12" w:space="0" w:color="0F9ED5" w:themeColor="accent4"/>
              <w:right w:val="single" w:sz="12" w:space="0" w:color="0F9ED5" w:themeColor="accent4"/>
            </w:tcBorders>
          </w:tcPr>
          <w:p w14:paraId="0EB14FC6" w14:textId="77777777" w:rsidR="00164B14" w:rsidRPr="00164B14" w:rsidRDefault="00164B14" w:rsidP="00164B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B14">
              <w:rPr>
                <w:rFonts w:ascii="Times New Roman" w:hAnsi="Times New Roman" w:cs="Times New Roman"/>
                <w:sz w:val="20"/>
                <w:szCs w:val="20"/>
              </w:rPr>
              <w:t>7.2: aumentar la proporción de energías renovables</w:t>
            </w:r>
            <w:r w:rsidRPr="00164B1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64B1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287D8AEA" w14:textId="77777777" w:rsidR="00164B14" w:rsidRPr="00164B14" w:rsidRDefault="00164B14" w:rsidP="00164B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B14">
              <w:rPr>
                <w:rFonts w:ascii="Times New Roman" w:hAnsi="Times New Roman" w:cs="Times New Roman"/>
                <w:sz w:val="20"/>
                <w:szCs w:val="20"/>
              </w:rPr>
              <w:t xml:space="preserve">9.4: modernizar infraestructuras para hacerlas sostenibles; </w:t>
            </w:r>
          </w:p>
          <w:p w14:paraId="5956888B" w14:textId="434E28BC" w:rsidR="00164B14" w:rsidRDefault="00164B14" w:rsidP="00164B1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64B14">
              <w:rPr>
                <w:rFonts w:ascii="Times New Roman" w:hAnsi="Times New Roman" w:cs="Times New Roman"/>
                <w:sz w:val="20"/>
                <w:szCs w:val="20"/>
              </w:rPr>
              <w:t>13.2: integrar medidas climáticas.</w:t>
            </w:r>
          </w:p>
        </w:tc>
      </w:tr>
      <w:tr w:rsidR="002D56B7" w14:paraId="4B2D808C" w14:textId="77777777" w:rsidTr="00495857">
        <w:tc>
          <w:tcPr>
            <w:tcW w:w="8494" w:type="dxa"/>
            <w:gridSpan w:val="5"/>
            <w:tcBorders>
              <w:top w:val="single" w:sz="12" w:space="0" w:color="0F9ED5" w:themeColor="accent4"/>
              <w:left w:val="single" w:sz="12" w:space="0" w:color="0F9ED5" w:themeColor="accent4"/>
              <w:bottom w:val="single" w:sz="12" w:space="0" w:color="0F9ED5" w:themeColor="accent4"/>
              <w:right w:val="single" w:sz="12" w:space="0" w:color="0F9ED5" w:themeColor="accent4"/>
            </w:tcBorders>
          </w:tcPr>
          <w:p w14:paraId="78936F9B" w14:textId="009007AA" w:rsidR="002D56B7" w:rsidRDefault="00495857" w:rsidP="00164B1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Alineación jurídica:</w:t>
            </w:r>
            <w:r w:rsidR="00164B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164B14" w:rsidRPr="00164B14">
              <w:rPr>
                <w:rFonts w:ascii="Times New Roman" w:hAnsi="Times New Roman" w:cs="Times New Roman"/>
                <w:sz w:val="20"/>
                <w:szCs w:val="20"/>
              </w:rPr>
              <w:t>Pacto Verde Europeo / CSRD | Relación con estrategias de transición ecológica y reducción de emisiones.</w:t>
            </w:r>
          </w:p>
        </w:tc>
      </w:tr>
      <w:tr w:rsidR="002D56B7" w14:paraId="1C3F9063" w14:textId="77777777" w:rsidTr="00495857">
        <w:tc>
          <w:tcPr>
            <w:tcW w:w="8494" w:type="dxa"/>
            <w:gridSpan w:val="5"/>
            <w:tcBorders>
              <w:top w:val="single" w:sz="12" w:space="0" w:color="0F9ED5" w:themeColor="accent4"/>
              <w:left w:val="single" w:sz="12" w:space="0" w:color="0F9ED5" w:themeColor="accent4"/>
              <w:bottom w:val="single" w:sz="12" w:space="0" w:color="0F9ED5" w:themeColor="accent4"/>
              <w:right w:val="single" w:sz="12" w:space="0" w:color="0F9ED5" w:themeColor="accent4"/>
            </w:tcBorders>
          </w:tcPr>
          <w:p w14:paraId="2BA962C9" w14:textId="70423EFB" w:rsidR="002D56B7" w:rsidRDefault="00495857" w:rsidP="00164B14">
            <w:pPr>
              <w:tabs>
                <w:tab w:val="left" w:pos="706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D56B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Indicador/KPI citado:</w:t>
            </w:r>
            <w:r w:rsidR="00164B1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164B14" w:rsidRPr="00164B14">
              <w:rPr>
                <w:rFonts w:ascii="Times New Roman" w:hAnsi="Times New Roman" w:cs="Times New Roman"/>
                <w:sz w:val="20"/>
                <w:szCs w:val="20"/>
              </w:rPr>
              <w:t>reducción de emisiones, consumo energético y avance en descarbonización.</w:t>
            </w:r>
          </w:p>
        </w:tc>
      </w:tr>
    </w:tbl>
    <w:p w14:paraId="387F898F" w14:textId="0FCD0AC5" w:rsidR="002D56B7" w:rsidRPr="002D56B7" w:rsidRDefault="002D56B7" w:rsidP="002D56B7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D56B7">
        <w:rPr>
          <w:rFonts w:ascii="Times New Roman" w:hAnsi="Times New Roman" w:cs="Times New Roman"/>
          <w:b/>
          <w:bCs/>
          <w:sz w:val="20"/>
          <w:szCs w:val="20"/>
        </w:rPr>
        <w:t>Síntesis crítica</w:t>
      </w:r>
    </w:p>
    <w:p w14:paraId="084C12C6" w14:textId="77777777" w:rsidR="002D56B7" w:rsidRPr="002D56B7" w:rsidRDefault="002D56B7" w:rsidP="002D56B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D56B7">
        <w:rPr>
          <w:rFonts w:ascii="Times New Roman" w:hAnsi="Times New Roman" w:cs="Times New Roman"/>
          <w:sz w:val="20"/>
          <w:szCs w:val="20"/>
        </w:rPr>
        <w:t>El </w:t>
      </w:r>
      <w:r w:rsidRPr="002D56B7">
        <w:rPr>
          <w:rFonts w:ascii="Times New Roman" w:hAnsi="Times New Roman" w:cs="Times New Roman"/>
          <w:b/>
          <w:bCs/>
          <w:sz w:val="20"/>
          <w:szCs w:val="20"/>
        </w:rPr>
        <w:t>ODS 8</w:t>
      </w:r>
      <w:r w:rsidRPr="002D56B7">
        <w:rPr>
          <w:rFonts w:ascii="Times New Roman" w:hAnsi="Times New Roman" w:cs="Times New Roman"/>
          <w:sz w:val="20"/>
          <w:szCs w:val="20"/>
        </w:rPr>
        <w:t> es el principal porque Accenture está vinculada al empleo cualificado, la formación continua y la atracción de talento digital. La memoria de la empresa refuerza esta idea al destacar personas, innovación y desarrollo profesional.</w:t>
      </w:r>
    </w:p>
    <w:p w14:paraId="61149021" w14:textId="53DFEAA3" w:rsidR="002D56B7" w:rsidRPr="002D56B7" w:rsidRDefault="002D56B7" w:rsidP="002D56B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D56B7">
        <w:rPr>
          <w:rFonts w:ascii="Times New Roman" w:hAnsi="Times New Roman" w:cs="Times New Roman"/>
          <w:b/>
          <w:bCs/>
          <w:sz w:val="20"/>
          <w:szCs w:val="20"/>
        </w:rPr>
        <w:t>Riesgo/Controversia detectada (si la hay) y fuente:</w:t>
      </w:r>
      <w:r w:rsidRPr="002D56B7">
        <w:rPr>
          <w:rFonts w:ascii="Times New Roman" w:hAnsi="Times New Roman" w:cs="Times New Roman"/>
          <w:sz w:val="20"/>
          <w:szCs w:val="20"/>
        </w:rPr>
        <w:t xml:space="preserve"> Posible falta de detalle territorial sobre su impacto real en la Comunidad Valenciana. La fuente es </w:t>
      </w:r>
      <w:hyperlink r:id="rId13" w:history="1">
        <w:r w:rsidRPr="002D56B7">
          <w:rPr>
            <w:rStyle w:val="Hipervnculo"/>
            <w:rFonts w:ascii="Times New Roman" w:hAnsi="Times New Roman" w:cs="Times New Roman"/>
            <w:sz w:val="20"/>
            <w:szCs w:val="20"/>
          </w:rPr>
          <w:t>Memoria de Accenture España 2025.</w:t>
        </w:r>
      </w:hyperlink>
    </w:p>
    <w:p w14:paraId="0F5EFE05" w14:textId="77777777" w:rsidR="002D56B7" w:rsidRPr="002D56B7" w:rsidRDefault="002D56B7" w:rsidP="002D56B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D56B7">
        <w:rPr>
          <w:rFonts w:ascii="Times New Roman" w:hAnsi="Times New Roman" w:cs="Times New Roman"/>
          <w:b/>
          <w:bCs/>
          <w:sz w:val="20"/>
          <w:szCs w:val="20"/>
        </w:rPr>
        <w:t>Mejora propuesta (acción concreta + indicador para seguimiento):</w:t>
      </w:r>
      <w:r w:rsidRPr="002D56B7">
        <w:rPr>
          <w:rFonts w:ascii="Times New Roman" w:hAnsi="Times New Roman" w:cs="Times New Roman"/>
          <w:sz w:val="20"/>
          <w:szCs w:val="20"/>
        </w:rPr>
        <w:t xml:space="preserve"> Incluir datos territoriales de empleo y formación. El indicador es el número de contrataciones locales y horas de formación por persona.</w:t>
      </w:r>
    </w:p>
    <w:p w14:paraId="2C4BC0F1" w14:textId="26B52BD3" w:rsidR="002D56B7" w:rsidRDefault="002D56B7" w:rsidP="0049585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D56B7">
        <w:rPr>
          <w:rFonts w:ascii="Times New Roman" w:hAnsi="Times New Roman" w:cs="Times New Roman"/>
          <w:b/>
          <w:bCs/>
          <w:sz w:val="20"/>
          <w:szCs w:val="20"/>
        </w:rPr>
        <w:t>Fuentes</w:t>
      </w:r>
    </w:p>
    <w:p w14:paraId="3E9679EA" w14:textId="36E18CD1" w:rsidR="00495857" w:rsidRDefault="00495857" w:rsidP="0049585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hyperlink r:id="rId14" w:history="1">
        <w:r w:rsidRPr="00495857">
          <w:rPr>
            <w:rStyle w:val="Hipervnculo"/>
            <w:rFonts w:ascii="Times New Roman" w:hAnsi="Times New Roman" w:cs="Times New Roman"/>
            <w:sz w:val="20"/>
            <w:szCs w:val="20"/>
          </w:rPr>
          <w:t>Enlace 1</w:t>
        </w:r>
      </w:hyperlink>
      <w:r>
        <w:rPr>
          <w:rFonts w:ascii="Times New Roman" w:hAnsi="Times New Roman" w:cs="Times New Roman"/>
          <w:sz w:val="20"/>
          <w:szCs w:val="20"/>
        </w:rPr>
        <w:t>] – 18/09/2025.</w:t>
      </w:r>
    </w:p>
    <w:p w14:paraId="024EDED9" w14:textId="29C852E8" w:rsidR="00495857" w:rsidRDefault="00495857" w:rsidP="0049585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hyperlink r:id="rId15" w:history="1">
        <w:r w:rsidRPr="00495857">
          <w:rPr>
            <w:rStyle w:val="Hipervnculo"/>
            <w:rFonts w:ascii="Times New Roman" w:hAnsi="Times New Roman" w:cs="Times New Roman"/>
            <w:sz w:val="20"/>
            <w:szCs w:val="20"/>
          </w:rPr>
          <w:t xml:space="preserve">Enlace </w:t>
        </w:r>
        <w:r w:rsidRPr="00495857">
          <w:rPr>
            <w:rStyle w:val="Hipervnculo"/>
            <w:rFonts w:ascii="Times New Roman" w:hAnsi="Times New Roman" w:cs="Times New Roman"/>
            <w:sz w:val="20"/>
            <w:szCs w:val="20"/>
          </w:rPr>
          <w:t>2</w:t>
        </w:r>
      </w:hyperlink>
      <w:r>
        <w:rPr>
          <w:rFonts w:ascii="Times New Roman" w:hAnsi="Times New Roman" w:cs="Times New Roman"/>
          <w:sz w:val="20"/>
          <w:szCs w:val="20"/>
        </w:rPr>
        <w:t>] –</w:t>
      </w:r>
      <w:r>
        <w:rPr>
          <w:rFonts w:ascii="Times New Roman" w:hAnsi="Times New Roman" w:cs="Times New Roman"/>
          <w:sz w:val="20"/>
          <w:szCs w:val="20"/>
        </w:rPr>
        <w:t xml:space="preserve"> 18/09/2025.</w:t>
      </w:r>
    </w:p>
    <w:p w14:paraId="4A0AE228" w14:textId="6A34309C" w:rsidR="00495857" w:rsidRDefault="00495857" w:rsidP="0049585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hyperlink r:id="rId16" w:history="1">
        <w:r w:rsidRPr="00495857">
          <w:rPr>
            <w:rStyle w:val="Hipervnculo"/>
            <w:rFonts w:ascii="Times New Roman" w:hAnsi="Times New Roman" w:cs="Times New Roman"/>
            <w:sz w:val="20"/>
            <w:szCs w:val="20"/>
          </w:rPr>
          <w:t xml:space="preserve">Enlace </w:t>
        </w:r>
        <w:r w:rsidRPr="00495857">
          <w:rPr>
            <w:rStyle w:val="Hipervnculo"/>
            <w:rFonts w:ascii="Times New Roman" w:hAnsi="Times New Roman" w:cs="Times New Roman"/>
            <w:sz w:val="20"/>
            <w:szCs w:val="20"/>
          </w:rPr>
          <w:t>3</w:t>
        </w:r>
      </w:hyperlink>
      <w:r>
        <w:rPr>
          <w:rFonts w:ascii="Times New Roman" w:hAnsi="Times New Roman" w:cs="Times New Roman"/>
          <w:sz w:val="20"/>
          <w:szCs w:val="20"/>
        </w:rPr>
        <w:t>] –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18/09/2025.</w:t>
      </w:r>
    </w:p>
    <w:p w14:paraId="306ED603" w14:textId="1E8435E2" w:rsidR="002D56B7" w:rsidRPr="002D56B7" w:rsidRDefault="00495857" w:rsidP="0049585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hyperlink r:id="rId17" w:history="1">
        <w:r w:rsidRPr="00164B14">
          <w:rPr>
            <w:rStyle w:val="Hipervnculo"/>
            <w:rFonts w:ascii="Times New Roman" w:hAnsi="Times New Roman" w:cs="Times New Roman"/>
            <w:sz w:val="20"/>
            <w:szCs w:val="20"/>
          </w:rPr>
          <w:t xml:space="preserve">Enlace </w:t>
        </w:r>
        <w:r w:rsidRPr="00164B14">
          <w:rPr>
            <w:rStyle w:val="Hipervnculo"/>
            <w:rFonts w:ascii="Times New Roman" w:hAnsi="Times New Roman" w:cs="Times New Roman"/>
            <w:sz w:val="20"/>
            <w:szCs w:val="20"/>
          </w:rPr>
          <w:t>4</w:t>
        </w:r>
      </w:hyperlink>
      <w:r>
        <w:rPr>
          <w:rFonts w:ascii="Times New Roman" w:hAnsi="Times New Roman" w:cs="Times New Roman"/>
          <w:sz w:val="20"/>
          <w:szCs w:val="20"/>
        </w:rPr>
        <w:t>] –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18/09/2025.</w:t>
      </w:r>
    </w:p>
    <w:sectPr w:rsidR="002D56B7" w:rsidRPr="002D56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475AA" w14:textId="77777777" w:rsidR="00A31F26" w:rsidRDefault="00A31F26" w:rsidP="00495857">
      <w:pPr>
        <w:spacing w:after="0" w:line="240" w:lineRule="auto"/>
      </w:pPr>
      <w:r>
        <w:separator/>
      </w:r>
    </w:p>
  </w:endnote>
  <w:endnote w:type="continuationSeparator" w:id="0">
    <w:p w14:paraId="06C48F6A" w14:textId="77777777" w:rsidR="00A31F26" w:rsidRDefault="00A31F26" w:rsidP="00495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E318D" w14:textId="77777777" w:rsidR="00A31F26" w:rsidRDefault="00A31F26" w:rsidP="00495857">
      <w:pPr>
        <w:spacing w:after="0" w:line="240" w:lineRule="auto"/>
      </w:pPr>
      <w:r>
        <w:separator/>
      </w:r>
    </w:p>
  </w:footnote>
  <w:footnote w:type="continuationSeparator" w:id="0">
    <w:p w14:paraId="0EA86731" w14:textId="77777777" w:rsidR="00A31F26" w:rsidRDefault="00A31F26" w:rsidP="004958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0A3B"/>
    <w:multiLevelType w:val="multilevel"/>
    <w:tmpl w:val="4A88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860CE"/>
    <w:multiLevelType w:val="multilevel"/>
    <w:tmpl w:val="339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4599E"/>
    <w:multiLevelType w:val="multilevel"/>
    <w:tmpl w:val="838E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41218">
    <w:abstractNumId w:val="1"/>
  </w:num>
  <w:num w:numId="2" w16cid:durableId="550653575">
    <w:abstractNumId w:val="2"/>
  </w:num>
  <w:num w:numId="3" w16cid:durableId="88160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E1D"/>
    <w:rsid w:val="0011693C"/>
    <w:rsid w:val="00164B14"/>
    <w:rsid w:val="002D56B7"/>
    <w:rsid w:val="00495857"/>
    <w:rsid w:val="007977D6"/>
    <w:rsid w:val="009A1CE1"/>
    <w:rsid w:val="009B69AB"/>
    <w:rsid w:val="00A31F26"/>
    <w:rsid w:val="00AA722F"/>
    <w:rsid w:val="00B60007"/>
    <w:rsid w:val="00BB5E1D"/>
    <w:rsid w:val="00D43F6E"/>
    <w:rsid w:val="00E95BE7"/>
    <w:rsid w:val="00FC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6C42F"/>
  <w15:chartTrackingRefBased/>
  <w15:docId w15:val="{6828D4AF-85DA-4753-A819-B26DAFC76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5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5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5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5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5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5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5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5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5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5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5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5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5E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5E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5E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5E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5E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5E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5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5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5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5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5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5E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5E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5E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5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5E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5E1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B5E1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5E1D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B5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E95BE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43F6E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4958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5857"/>
  </w:style>
  <w:style w:type="paragraph" w:styleId="Piedepgina">
    <w:name w:val="footer"/>
    <w:basedOn w:val="Normal"/>
    <w:link w:val="PiedepginaCar"/>
    <w:uiPriority w:val="99"/>
    <w:unhideWhenUsed/>
    <w:rsid w:val="004958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5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centure.com/content/dam/accenture/final/accenture-com/document-fy26/q3/FY25-Memoria-Espana-FINAL.pdf#zoom=40" TargetMode="External"/><Relationship Id="rId13" Type="http://schemas.openxmlformats.org/officeDocument/2006/relationships/hyperlink" Target="Accenture-FY25-Memoria-Espana-FINAL.pdf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ccenture.com/es-es" TargetMode="External"/><Relationship Id="rId12" Type="http://schemas.openxmlformats.org/officeDocument/2006/relationships/hyperlink" Target="https://www.accenture.com/es-es/about/company/integrated-reporting-sustainability" TargetMode="External"/><Relationship Id="rId17" Type="http://schemas.openxmlformats.org/officeDocument/2006/relationships/hyperlink" Target="https://www.accenture.com/es-es/about/company/integrated-reporting-sustainability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ccenture.com/es-es/services/sustainability/sustainability-measuremen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ccenture.com/es-es/services/sustainability/sustainability-measurement" TargetMode="External"/><Relationship Id="rId5" Type="http://schemas.openxmlformats.org/officeDocument/2006/relationships/footnotes" Target="footnotes.xml"/><Relationship Id="rId15" Type="http://schemas.openxmlformats.org/officeDocument/2006/relationships/hyperlink" Target="Accenture-FY25-Memoria-Espana-FINAL.pdf" TargetMode="External"/><Relationship Id="rId10" Type="http://schemas.openxmlformats.org/officeDocument/2006/relationships/hyperlink" Target="https://www.accenture.com/es-e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accenture.com/content/dam/accenture/final/accenture-com/document-fy26/q3/FY25-Memoria-Espana-FINAL.pdf" TargetMode="External"/><Relationship Id="rId14" Type="http://schemas.openxmlformats.org/officeDocument/2006/relationships/hyperlink" Target="https://www.accenture.com/es-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627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Ángel García Martínez</dc:creator>
  <cp:keywords/>
  <dc:description/>
  <cp:lastModifiedBy>GARCÍA MARTÍNEZ, JOSÉ ÁNGEL</cp:lastModifiedBy>
  <cp:revision>3</cp:revision>
  <cp:lastPrinted>2026-09-18T18:42:00Z</cp:lastPrinted>
  <dcterms:created xsi:type="dcterms:W3CDTF">2026-09-18T15:51:00Z</dcterms:created>
  <dcterms:modified xsi:type="dcterms:W3CDTF">2026-09-18T18:43:00Z</dcterms:modified>
</cp:coreProperties>
</file>