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53F64"/>
          <w:sz w:val="46"/>
        </w:rPr>
        <w:t>ROADMAP TÉCNICO DE DESARROLLO</w:t>
      </w:r>
    </w:p>
    <w:p>
      <w:pPr>
        <w:jc w:val="center"/>
      </w:pPr>
      <w:r>
        <w:rPr>
          <w:b/>
        </w:rPr>
        <w:t>PROYECTO 1 · BASES DE DATOS AVANZADAS</w:t>
      </w:r>
    </w:p>
    <w:p>
      <w:r>
        <w:rPr>
          <w:b w:val="0"/>
        </w:rPr>
        <w:br/>
      </w:r>
    </w:p>
    <w:p>
      <w:pPr>
        <w:jc w:val="center"/>
      </w:pPr>
      <w:r>
        <w:t>Distribución de responsabilidades para tres integrantes</w:t>
        <w:br/>
        <w:t>SQL Server · SSMS · Always On · Tailscale</w:t>
      </w:r>
    </w:p>
    <w:p>
      <w:r>
        <w:rPr>
          <w:b w:val="0"/>
        </w:rPr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Dato</w:t>
            </w:r>
          </w:p>
        </w:tc>
        <w:tc>
          <w:tcPr>
            <w:tcW w:type="dxa" w:w="4896"/>
            <w:vAlign w:val="center"/>
          </w:tcPr>
          <w:p>
            <w:r>
              <w:t>Detalle</w:t>
            </w:r>
          </w:p>
        </w:tc>
      </w:tr>
      <w:tr>
        <w:tc>
          <w:tcPr>
            <w:tcW w:type="dxa" w:w="4896"/>
            <w:vAlign w:val="center"/>
          </w:tcPr>
          <w:p>
            <w:r>
              <w:t>Curso</w:t>
            </w:r>
          </w:p>
        </w:tc>
        <w:tc>
          <w:tcPr>
            <w:tcW w:type="dxa" w:w="4896"/>
            <w:vAlign w:val="center"/>
          </w:tcPr>
          <w:p>
            <w:r>
              <w:t>Bases de Datos Avanzadas — III Cuatrimestre 2026</w:t>
            </w:r>
          </w:p>
        </w:tc>
      </w:tr>
      <w:tr>
        <w:tc>
          <w:tcPr>
            <w:tcW w:type="dxa" w:w="4896"/>
            <w:vAlign w:val="center"/>
          </w:tcPr>
          <w:p>
            <w:r>
              <w:t>Equipo</w:t>
            </w:r>
          </w:p>
        </w:tc>
        <w:tc>
          <w:tcPr>
            <w:tcW w:type="dxa" w:w="4896"/>
            <w:vAlign w:val="center"/>
          </w:tcPr>
          <w:p>
            <w:r>
              <w:t>Jean Carlo Navarro Solano · Christian Esteban Rocha Guerrero · José Rodolfo Morales Calderón (asignación nominal pendiente)</w:t>
            </w:r>
          </w:p>
        </w:tc>
      </w:tr>
      <w:tr>
        <w:tc>
          <w:tcPr>
            <w:tcW w:type="dxa" w:w="4896"/>
            <w:vAlign w:val="center"/>
          </w:tcPr>
          <w:p>
            <w:r>
              <w:t>Entrega</w:t>
            </w:r>
          </w:p>
        </w:tc>
        <w:tc>
          <w:tcPr>
            <w:tcW w:type="dxa" w:w="4896"/>
            <w:vAlign w:val="center"/>
          </w:tcPr>
          <w:p>
            <w:r>
              <w:t>Miércoles 14 de octubre de 2026, antes de las 9:00 a. m.</w:t>
            </w:r>
          </w:p>
        </w:tc>
      </w:tr>
      <w:tr>
        <w:tc>
          <w:tcPr>
            <w:tcW w:type="dxa" w:w="4896"/>
            <w:vAlign w:val="center"/>
          </w:tcPr>
          <w:p>
            <w:r>
              <w:t>Medio</w:t>
            </w:r>
          </w:p>
        </w:tc>
        <w:tc>
          <w:tcPr>
            <w:tcW w:type="dxa" w:w="4896"/>
            <w:vAlign w:val="center"/>
          </w:tcPr>
          <w:p>
            <w:r>
              <w:t>Canal de Teams del equipo</w:t>
            </w:r>
          </w:p>
        </w:tc>
      </w:tr>
      <w:tr>
        <w:tc>
          <w:tcPr>
            <w:tcW w:type="dxa" w:w="4896"/>
            <w:vAlign w:val="center"/>
          </w:tcPr>
          <w:p>
            <w:r>
              <w:t>Valor</w:t>
            </w:r>
          </w:p>
        </w:tc>
        <w:tc>
          <w:tcPr>
            <w:tcW w:type="dxa" w:w="4896"/>
            <w:vAlign w:val="center"/>
          </w:tcPr>
          <w:p>
            <w:r>
              <w:t>15% de la nota del curso: base de datos 10% y alta disponibilidad 5%</w:t>
            </w:r>
          </w:p>
        </w:tc>
      </w:tr>
      <w:tr>
        <w:tc>
          <w:tcPr>
            <w:tcW w:type="dxa" w:w="4896"/>
            <w:vAlign w:val="center"/>
          </w:tcPr>
          <w:p>
            <w:r>
              <w:t>Documento base</w:t>
            </w:r>
          </w:p>
        </w:tc>
        <w:tc>
          <w:tcPr>
            <w:tcW w:type="dxa" w:w="4896"/>
            <w:vAlign w:val="center"/>
          </w:tcPr>
          <w:p>
            <w:r>
              <w:t>Proyecto 1.pdf (4 páginas)</w:t>
            </w:r>
          </w:p>
        </w:tc>
      </w:tr>
    </w:tbl>
    <w:p>
      <w:r>
        <w:rPr>
          <w:b w:val="0"/>
        </w:rPr>
        <w:br/>
        <w:t>Documento de planificación elaborado a partir de los requerimientos de la consigna. Las asignaciones y recomendaciones de implementación son propuestas del equipo, no instrucciones textuales del documento original.</w:t>
      </w:r>
    </w:p>
    <w:p>
      <w:r>
        <w:br w:type="page"/>
      </w:r>
    </w:p>
    <w:p>
      <w:pPr>
        <w:pStyle w:val="Heading1"/>
      </w:pPr>
      <w:r>
        <w:t>1. Alcance y objetivos</w:t>
      </w:r>
    </w:p>
    <w:p>
      <w:r>
        <w:rPr>
          <w:b w:val="0"/>
        </w:rPr>
        <w:t>El proyecto consta de dos apartados: (1) desarrollo integral de una base de datos, incluyendo restricciones, procedimientos almacenados, triggers, autenticación y registros de prueba; (2) configuración, evidencia y demostración de una herramienta de alta disponibilidad. La herramienta asignada al grupo es Always 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Apartado</w:t>
            </w:r>
          </w:p>
        </w:tc>
        <w:tc>
          <w:tcPr>
            <w:tcW w:type="dxa" w:w="3264"/>
            <w:vAlign w:val="center"/>
          </w:tcPr>
          <w:p>
            <w:r>
              <w:t>Valor</w:t>
            </w:r>
          </w:p>
        </w:tc>
        <w:tc>
          <w:tcPr>
            <w:tcW w:type="dxa" w:w="3264"/>
            <w:vAlign w:val="center"/>
          </w:tcPr>
          <w:p>
            <w:r>
              <w:t>Requisitos centrales</w:t>
            </w:r>
          </w:p>
        </w:tc>
      </w:tr>
      <w:tr>
        <w:tc>
          <w:tcPr>
            <w:tcW w:type="dxa" w:w="3264"/>
            <w:vAlign w:val="center"/>
          </w:tcPr>
          <w:p>
            <w:r>
              <w:t>Base de datos</w:t>
            </w:r>
          </w:p>
        </w:tc>
        <w:tc>
          <w:tcPr>
            <w:tcW w:type="dxa" w:w="3264"/>
            <w:vAlign w:val="center"/>
          </w:tcPr>
          <w:p>
            <w:r>
              <w:t>10%</w:t>
            </w:r>
          </w:p>
        </w:tc>
        <w:tc>
          <w:tcPr>
            <w:tcW w:type="dxa" w:w="3264"/>
            <w:vAlign w:val="center"/>
          </w:tcPr>
          <w:p>
            <w:r>
              <w:t>Estructura, integridad, CRUD, consultas parametrizadas, 2 triggers, login, 3 registros por tabla y script SSMS con esquema y datos.</w:t>
            </w:r>
          </w:p>
        </w:tc>
      </w:tr>
      <w:tr>
        <w:tc>
          <w:tcPr>
            <w:tcW w:type="dxa" w:w="3264"/>
            <w:vAlign w:val="center"/>
          </w:tcPr>
          <w:p>
            <w:r>
              <w:t>Alta disponibilidad</w:t>
            </w:r>
          </w:p>
        </w:tc>
        <w:tc>
          <w:tcPr>
            <w:tcW w:type="dxa" w:w="3264"/>
            <w:vAlign w:val="center"/>
          </w:tcPr>
          <w:p>
            <w:r>
              <w:t>5%</w:t>
            </w:r>
          </w:p>
        </w:tc>
        <w:tc>
          <w:tcPr>
            <w:tcW w:type="dxa" w:w="3264"/>
            <w:vAlign w:val="center"/>
          </w:tcPr>
          <w:p>
            <w:r>
              <w:t>Always On, configuración y demostración, aplicativo mínimo, manual de procedimientos, evidencias y exposición.</w:t>
            </w:r>
          </w:p>
        </w:tc>
      </w:tr>
    </w:tbl>
    <w:p>
      <w:pPr>
        <w:pStyle w:val="Heading1"/>
      </w:pPr>
      <w:r>
        <w:t>2. Ambiente técnico compartido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Componente</w:t>
            </w:r>
          </w:p>
        </w:tc>
        <w:tc>
          <w:tcPr>
            <w:tcW w:type="dxa" w:w="4896"/>
            <w:vAlign w:val="center"/>
          </w:tcPr>
          <w:p>
            <w:r>
              <w:t>Configuración</w:t>
            </w:r>
          </w:p>
        </w:tc>
      </w:tr>
      <w:tr>
        <w:tc>
          <w:tcPr>
            <w:tcW w:type="dxa" w:w="4896"/>
            <w:vAlign w:val="center"/>
          </w:tcPr>
          <w:p>
            <w:r>
              <w:t>Motor</w:t>
            </w:r>
          </w:p>
        </w:tc>
        <w:tc>
          <w:tcPr>
            <w:tcW w:type="dxa" w:w="4896"/>
            <w:vAlign w:val="center"/>
          </w:tcPr>
          <w:p>
            <w:r>
              <w:t>Microsoft SQL Server</w:t>
            </w:r>
          </w:p>
        </w:tc>
      </w:tr>
      <w:tr>
        <w:tc>
          <w:tcPr>
            <w:tcW w:type="dxa" w:w="4896"/>
            <w:vAlign w:val="center"/>
          </w:tcPr>
          <w:p>
            <w:r>
              <w:t>Cliente de administración</w:t>
            </w:r>
          </w:p>
        </w:tc>
        <w:tc>
          <w:tcPr>
            <w:tcW w:type="dxa" w:w="4896"/>
            <w:vAlign w:val="center"/>
          </w:tcPr>
          <w:p>
            <w:r>
              <w:t>SQL Server Management Studio (SSMS)</w:t>
            </w:r>
          </w:p>
        </w:tc>
      </w:tr>
      <w:tr>
        <w:tc>
          <w:tcPr>
            <w:tcW w:type="dxa" w:w="4896"/>
            <w:vAlign w:val="center"/>
          </w:tcPr>
          <w:p>
            <w:r>
              <w:t>Base de datos</w:t>
            </w:r>
          </w:p>
        </w:tc>
        <w:tc>
          <w:tcPr>
            <w:tcW w:type="dxa" w:w="4896"/>
            <w:vAlign w:val="center"/>
          </w:tcPr>
          <w:p>
            <w:r>
              <w:t>DB_Avanzadas</w:t>
            </w:r>
          </w:p>
        </w:tc>
      </w:tr>
      <w:tr>
        <w:tc>
          <w:tcPr>
            <w:tcW w:type="dxa" w:w="4896"/>
            <w:vAlign w:val="center"/>
          </w:tcPr>
          <w:p>
            <w:r>
              <w:t>Instancia remota</w:t>
            </w:r>
          </w:p>
        </w:tc>
        <w:tc>
          <w:tcPr>
            <w:tcW w:type="dxa" w:w="4896"/>
            <w:vAlign w:val="center"/>
          </w:tcPr>
          <w:p>
            <w:r>
              <w:t>100.124.109.126,15002</w:t>
            </w:r>
          </w:p>
        </w:tc>
      </w:tr>
      <w:tr>
        <w:tc>
          <w:tcPr>
            <w:tcW w:type="dxa" w:w="4896"/>
            <w:vAlign w:val="center"/>
          </w:tcPr>
          <w:p>
            <w:r>
              <w:t>Red privada</w:t>
            </w:r>
          </w:p>
        </w:tc>
        <w:tc>
          <w:tcPr>
            <w:tcW w:type="dxa" w:w="4896"/>
            <w:vAlign w:val="center"/>
          </w:tcPr>
          <w:p>
            <w:r>
              <w:t>Tailscale</w:t>
            </w:r>
          </w:p>
        </w:tc>
      </w:tr>
      <w:tr>
        <w:tc>
          <w:tcPr>
            <w:tcW w:type="dxa" w:w="4896"/>
            <w:vAlign w:val="center"/>
          </w:tcPr>
          <w:p>
            <w:r>
              <w:t>Autenticación</w:t>
            </w:r>
          </w:p>
        </w:tc>
        <w:tc>
          <w:tcPr>
            <w:tcW w:type="dxa" w:w="4896"/>
            <w:vAlign w:val="center"/>
          </w:tcPr>
          <w:p>
            <w:r>
              <w:t>SQL Server Authentication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Credenciales</w:t>
            </w:r>
          </w:p>
        </w:tc>
        <w:tc>
          <w:tcPr>
            <w:tcW w:type="dxa" w:w="4896"/>
            <w:vAlign w:val="center"/>
          </w:tcPr>
          <w:p>
            <w:r>
              <w:t>Usuario y contraseña individuales asignados</w:t>
            </w:r>
          </w:p>
        </w:tc>
      </w:tr>
    </w:tbl>
    <w:p>
      <w:r>
        <w:rPr>
          <w:b w:val="0"/>
        </w:rPr>
        <w:t>Nota técnica: la instancia remota indicada es la conexión existente. No implica por sí misma un listener de Always On ni garantiza alta disponibilidad. La viabilidad depende de la edición, plataforma, nodos y arquitectura disponibles.</w:t>
      </w:r>
    </w:p>
    <w:p>
      <w:pPr>
        <w:pStyle w:val="Heading1"/>
      </w:pPr>
      <w:r>
        <w:t>3. División del trabajo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Persona</w:t>
            </w:r>
          </w:p>
        </w:tc>
        <w:tc>
          <w:tcPr>
            <w:tcW w:type="dxa" w:w="3264"/>
            <w:vAlign w:val="center"/>
          </w:tcPr>
          <w:p>
            <w:r>
              <w:t>Área principal</w:t>
            </w:r>
          </w:p>
        </w:tc>
        <w:tc>
          <w:tcPr>
            <w:tcW w:type="dxa" w:w="3264"/>
            <w:vAlign w:val="center"/>
          </w:tcPr>
          <w:p>
            <w:r>
              <w:t>Resultado esperado</w:t>
            </w:r>
          </w:p>
        </w:tc>
      </w:tr>
      <w:tr>
        <w:tc>
          <w:tcPr>
            <w:tcW w:type="dxa" w:w="3264"/>
            <w:vAlign w:val="center"/>
          </w:tcPr>
          <w:p>
            <w:r>
              <w:t>Jean Carlo Navarro Solano</w:t>
            </w:r>
          </w:p>
        </w:tc>
        <w:tc>
          <w:tcPr>
            <w:tcW w:type="dxa" w:w="3264"/>
            <w:vAlign w:val="center"/>
          </w:tcPr>
          <w:p>
            <w:r>
              <w:t>Estructura y lógica SQL</w:t>
            </w:r>
          </w:p>
        </w:tc>
        <w:tc>
          <w:tcPr>
            <w:tcW w:type="dxa" w:w="3264"/>
            <w:vAlign w:val="center"/>
          </w:tcPr>
          <w:p>
            <w:r>
              <w:t>Modelo físico, tablas, restricciones, mantenimiento CRUD, triggers y datos.</w:t>
            </w:r>
          </w:p>
        </w:tc>
      </w:tr>
      <w:tr>
        <w:tc>
          <w:tcPr>
            <w:tcW w:type="dxa" w:w="3264"/>
            <w:vAlign w:val="center"/>
          </w:tcPr>
          <w:p>
            <w:r>
              <w:t>Christian Esteban Rocha Guerrero</w:t>
            </w:r>
          </w:p>
        </w:tc>
        <w:tc>
          <w:tcPr>
            <w:tcW w:type="dxa" w:w="3264"/>
            <w:vAlign w:val="center"/>
          </w:tcPr>
          <w:p>
            <w:r>
              <w:t>Infraestructura y Always On</w:t>
            </w:r>
          </w:p>
        </w:tc>
        <w:tc>
          <w:tcPr>
            <w:tcW w:type="dxa" w:w="3264"/>
            <w:vAlign w:val="center"/>
          </w:tcPr>
          <w:p>
            <w:r>
              <w:t>Arquitectura, compatibilidad, configuración, conectividad y pruebas de fallo.</w:t>
            </w:r>
          </w:p>
        </w:tc>
      </w:tr>
      <w:tr>
        <w:tc>
          <w:tcPr>
            <w:tcW w:type="dxa" w:w="3264"/>
            <w:vAlign w:val="center"/>
          </w:tcPr>
          <w:p>
            <w:r>
              <w:t>José Rodolfo Morales Calderón</w:t>
            </w:r>
          </w:p>
        </w:tc>
        <w:tc>
          <w:tcPr>
            <w:tcW w:type="dxa" w:w="3264"/>
            <w:vAlign w:val="center"/>
          </w:tcPr>
          <w:p>
            <w:r>
              <w:t>Autenticación, aplicativo e integración</w:t>
            </w:r>
          </w:p>
        </w:tc>
        <w:tc>
          <w:tcPr>
            <w:tcW w:type="dxa" w:w="3264"/>
            <w:vAlign w:val="center"/>
          </w:tcPr>
          <w:p>
            <w:r>
              <w:t>Login, consultas parametrizadas, interfaz demo, conexión e integración.</w:t>
            </w:r>
          </w:p>
        </w:tc>
      </w:tr>
    </w:tbl>
    <w:p>
      <w:r>
        <w:rPr>
          <w:b w:val="0"/>
        </w:rPr>
        <w:t>La distribución se realiza por responsabilidad técnica y dependencias, no solo por número de actividades. La documentación y la exposición son obligaciones de los tres integrantes.</w:t>
      </w:r>
    </w:p>
    <w:p>
      <w:pPr>
        <w:pStyle w:val="Heading1"/>
      </w:pPr>
      <w:r>
        <w:t>4. Tareas por responsable</w:t>
      </w:r>
    </w:p>
    <w:p>
      <w:pPr>
        <w:pStyle w:val="Heading2"/>
      </w:pPr>
      <w:r>
        <w:t>Jean Carlo Navarro Solano — Estructura y lógica SQL</w:t>
      </w:r>
    </w:p>
    <w:p>
      <w:pPr>
        <w:pStyle w:val="ListBullet"/>
      </w:pPr>
      <w:r>
        <w:t>P1-01 — Revisar el modelo de datos aprobado, entidades y relaciones.</w:t>
      </w:r>
    </w:p>
    <w:p>
      <w:pPr>
        <w:pStyle w:val="ListBullet"/>
      </w:pPr>
      <w:r>
        <w:t>P1-02 — Crear tablas con tipos correctos, llaves primarias, foráneas y checks; utilizar otras restricciones cuando procedan.</w:t>
      </w:r>
    </w:p>
    <w:p>
      <w:pPr>
        <w:pStyle w:val="ListBullet"/>
      </w:pPr>
      <w:r>
        <w:t>P1-03 — Implementar los procedimientos almacenados de mantenimiento para cada tabla (alta, consulta, modificación y eliminación).</w:t>
      </w:r>
    </w:p>
    <w:p>
      <w:pPr>
        <w:pStyle w:val="ListBullet"/>
      </w:pPr>
      <w:r>
        <w:t>P1-04 — Implementar al menos dos triggers vinculados con el funcionamiento requerido.</w:t>
      </w:r>
    </w:p>
    <w:p>
      <w:pPr>
        <w:pStyle w:val="ListBullet"/>
      </w:pPr>
      <w:r>
        <w:t>P1-05 — Cargar y validar un mínimo de tres registros por tabla.</w:t>
      </w:r>
    </w:p>
    <w:p>
      <w:pPr>
        <w:pStyle w:val="ListBullet"/>
      </w:pPr>
      <w:r>
        <w:t>P1-06 — Entregar scripts y evidencia de pruebas de integridad, procedimientos y triggers.</w:t>
      </w:r>
    </w:p>
    <w:p>
      <w:r>
        <w:rPr>
          <w:b w:val="0"/>
        </w:rPr>
        <w:t>Entregable: Scripts de estructura, CRUD, triggers, registros y resultados de prueba.</w:t>
      </w:r>
    </w:p>
    <w:p>
      <w:pPr>
        <w:pStyle w:val="Heading2"/>
      </w:pPr>
      <w:r>
        <w:t>Christian Esteban Rocha Guerrero — Infraestructura y Always On</w:t>
      </w:r>
    </w:p>
    <w:p>
      <w:pPr>
        <w:pStyle w:val="ListBullet"/>
      </w:pPr>
      <w:r>
        <w:t>P2-01 — Comprobar versiones y ediciones de Windows y SQL Server, prerrequisitos y posibilidad real de Always On.</w:t>
      </w:r>
    </w:p>
    <w:p>
      <w:pPr>
        <w:pStyle w:val="ListBullet"/>
      </w:pPr>
      <w:r>
        <w:t>P2-02 — Definir nodos, réplicas, configuración de red, mecanismos de conexión y tipo de disponibilidad soportado.</w:t>
      </w:r>
    </w:p>
    <w:p>
      <w:pPr>
        <w:pStyle w:val="ListBullet"/>
      </w:pPr>
      <w:r>
        <w:t>P2-03 — Configurar las instancias y componentes necesarios para Always On según la arquitectura elegida.</w:t>
      </w:r>
    </w:p>
    <w:p>
      <w:pPr>
        <w:pStyle w:val="ListBullet"/>
      </w:pPr>
      <w:r>
        <w:t>P2-04 — Validar Tailscale, firewall, cuentas, permisos y puertos requeridos.</w:t>
      </w:r>
    </w:p>
    <w:p>
      <w:pPr>
        <w:pStyle w:val="ListBullet"/>
      </w:pPr>
      <w:r>
        <w:t>P2-05 — Probar sincronización y conmutación ante fallo según lo que permita el ambiente.</w:t>
      </w:r>
    </w:p>
    <w:p>
      <w:pPr>
        <w:pStyle w:val="ListBullet"/>
      </w:pPr>
      <w:r>
        <w:t>P2-06 — Registrar capturas, comandos, errores, soluciones y resultados, incluidos intentos fallidos.</w:t>
      </w:r>
    </w:p>
    <w:p>
      <w:r>
        <w:rPr>
          <w:b w:val="0"/>
        </w:rPr>
        <w:t>Entregable: Bitácora de configuración, evidencias de arquitectura y pruebas de alta disponibilidad.</w:t>
      </w:r>
    </w:p>
    <w:p>
      <w:pPr>
        <w:pStyle w:val="Heading2"/>
      </w:pPr>
      <w:r>
        <w:t>José Rodolfo Morales Calderón — Autenticación, aplicativo e integración</w:t>
      </w:r>
    </w:p>
    <w:p>
      <w:pPr>
        <w:pStyle w:val="ListBullet"/>
      </w:pPr>
      <w:r>
        <w:t>P3-01 — Diseñar los dos perfiles de usuario de la aplicación: Cliente y Empleado/Administrativo.</w:t>
      </w:r>
    </w:p>
    <w:p>
      <w:pPr>
        <w:pStyle w:val="ListBullet"/>
      </w:pPr>
      <w:r>
        <w:t>P3-02 — Crear el procedimiento de login que valide credenciales y devuelva un resultado verificable.</w:t>
      </w:r>
    </w:p>
    <w:p>
      <w:pPr>
        <w:pStyle w:val="ListBullet"/>
      </w:pPr>
      <w:r>
        <w:t>P3-03 — Implementar procedimientos de consulta parametrizados según el tipo de consulta o tabla completa requerida.</w:t>
      </w:r>
    </w:p>
    <w:p>
      <w:pPr>
        <w:pStyle w:val="ListBullet"/>
      </w:pPr>
      <w:r>
        <w:t>P3-04 — Construir aplicativo mínimo con login, consulta y registro/modificación de datos mediante procedimientos almacenados.</w:t>
      </w:r>
    </w:p>
    <w:p>
      <w:pPr>
        <w:pStyle w:val="ListBullet"/>
      </w:pPr>
      <w:r>
        <w:t>P3-05 — Incorporar identificación de la base o réplica activa en la demostración.</w:t>
      </w:r>
    </w:p>
    <w:p>
      <w:pPr>
        <w:pStyle w:val="ListBullet"/>
      </w:pPr>
      <w:r>
        <w:t>P3-06 — Realizar pruebas integradas; organizar capturas y documentación de la aplicación.</w:t>
      </w:r>
    </w:p>
    <w:p>
      <w:r>
        <w:rPr>
          <w:b w:val="0"/>
        </w:rPr>
        <w:t>Entregable: Scripts de autenticación y consulta, código de aplicativo y pruebas integradas.</w:t>
      </w:r>
    </w:p>
    <w:p>
      <w:pPr>
        <w:pStyle w:val="Heading1"/>
      </w:pPr>
      <w:r>
        <w:t>5. Dependencias y coordinación</w:t>
      </w:r>
    </w:p>
    <w:p>
      <w:pPr>
        <w:pStyle w:val="ListBullet"/>
      </w:pPr>
      <w:r>
        <w:t>Antes de codificar: acordar el modelo de datos, nombres de objetos y reglas de negocio con el proyecto previamente aprobado.</w:t>
      </w:r>
    </w:p>
    <w:p>
      <w:pPr>
        <w:pStyle w:val="ListBullet"/>
      </w:pPr>
      <w:r>
        <w:t>Jean Carlo Navarro Solano publica el esquema inicial; José Rodolfo Morales Calderón construye autenticación, consultas y aplicativo sobre esa estructura.</w:t>
      </w:r>
    </w:p>
    <w:p>
      <w:pPr>
        <w:pStyle w:val="ListBullet"/>
      </w:pPr>
      <w:r>
        <w:t>Christian Esteban Rocha Guerrero desarrolla la infraestructura en paralelo, pero el aplicativo requiere la estrategia de conexión y detección de réplica activa.</w:t>
      </w:r>
    </w:p>
    <w:p>
      <w:pPr>
        <w:pStyle w:val="ListBullet"/>
      </w:pPr>
      <w:r>
        <w:t>Todos aportan documentación de su ámbito y prueban los componentes completos después de integrar.</w:t>
      </w:r>
    </w:p>
    <w:p>
      <w:pPr>
        <w:pStyle w:val="ListBullet"/>
      </w:pPr>
      <w:r>
        <w:t>No ejecutar modificaciones incompatibles simultáneamente sobre la base compartida; conservar scripts versionados y acordar ventanas de integración.</w:t>
      </w:r>
    </w:p>
    <w:p>
      <w:pPr>
        <w:pStyle w:val="Heading1"/>
      </w:pPr>
      <w:r>
        <w:t>6. Cronograma recomendado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Fecha</w:t>
            </w:r>
          </w:p>
        </w:tc>
        <w:tc>
          <w:tcPr>
            <w:tcW w:type="dxa" w:w="3264"/>
            <w:vAlign w:val="center"/>
          </w:tcPr>
          <w:p>
            <w:r>
              <w:t>Objetivo</w:t>
            </w:r>
          </w:p>
        </w:tc>
        <w:tc>
          <w:tcPr>
            <w:tcW w:type="dxa" w:w="3264"/>
            <w:vAlign w:val="center"/>
          </w:tcPr>
          <w:p>
            <w:r>
              <w:t>Actividades</w:t>
            </w:r>
          </w:p>
        </w:tc>
      </w:tr>
      <w:tr>
        <w:tc>
          <w:tcPr>
            <w:tcW w:type="dxa" w:w="3264"/>
            <w:vAlign w:val="center"/>
          </w:tcPr>
          <w:p>
            <w:r>
              <w:t>Lunes 12/oct</w:t>
            </w:r>
          </w:p>
        </w:tc>
        <w:tc>
          <w:tcPr>
            <w:tcW w:type="dxa" w:w="3264"/>
            <w:vAlign w:val="center"/>
          </w:tcPr>
          <w:p>
            <w:r>
              <w:t>Preparación y bases</w:t>
            </w:r>
          </w:p>
        </w:tc>
        <w:tc>
          <w:tcPr>
            <w:tcW w:type="dxa" w:w="3264"/>
            <w:vAlign w:val="center"/>
          </w:tcPr>
          <w:p>
            <w:r>
              <w:t>P1: esquema. P2: evaluación de prerrequisitos. P3: roles, login y prototipo.</w:t>
            </w:r>
          </w:p>
        </w:tc>
      </w:tr>
      <w:tr>
        <w:tc>
          <w:tcPr>
            <w:tcW w:type="dxa" w:w="3264"/>
            <w:vAlign w:val="center"/>
          </w:tcPr>
          <w:p>
            <w:r>
              <w:t>Martes 13/oct</w:t>
            </w:r>
          </w:p>
        </w:tc>
        <w:tc>
          <w:tcPr>
            <w:tcW w:type="dxa" w:w="3264"/>
            <w:vAlign w:val="center"/>
          </w:tcPr>
          <w:p>
            <w:r>
              <w:t>Desarrollo e integración</w:t>
            </w:r>
          </w:p>
        </w:tc>
        <w:tc>
          <w:tcPr>
            <w:tcW w:type="dxa" w:w="3264"/>
            <w:vAlign w:val="center"/>
          </w:tcPr>
          <w:p>
            <w:r>
              <w:t>P1: CRUD, triggers y datos. P2: Always On y pruebas. P3: aplicativo e integración. Todos: evidencias.</w:t>
            </w:r>
          </w:p>
        </w:tc>
      </w:tr>
      <w:tr>
        <w:tc>
          <w:tcPr>
            <w:tcW w:type="dxa" w:w="3264"/>
            <w:vAlign w:val="center"/>
          </w:tcPr>
          <w:p>
            <w:r>
              <w:t>Miércoles 14/oct (antes de 9 a. m.)</w:t>
            </w:r>
          </w:p>
        </w:tc>
        <w:tc>
          <w:tcPr>
            <w:tcW w:type="dxa" w:w="3264"/>
            <w:vAlign w:val="center"/>
          </w:tcPr>
          <w:p>
            <w:r>
              <w:t>Validación y entrega</w:t>
            </w:r>
          </w:p>
        </w:tc>
        <w:tc>
          <w:tcPr>
            <w:tcW w:type="dxa" w:w="3264"/>
            <w:vAlign w:val="center"/>
          </w:tcPr>
          <w:p>
            <w:r>
              <w:t>Exportar script SSMS con esquema y datos, verificar material técnico y entregar por Teams.</w:t>
            </w:r>
          </w:p>
        </w:tc>
      </w:tr>
    </w:tbl>
    <w:p>
      <w:pPr>
        <w:pStyle w:val="Heading1"/>
      </w:pPr>
      <w:r>
        <w:t>7. Entregables y control de cumplimiento</w:t>
      </w:r>
    </w:p>
    <w:p>
      <w:pPr>
        <w:pStyle w:val="ListBullet"/>
      </w:pPr>
      <w:r>
        <w:t>☐ Estructura completa y tipos de datos adecuados.</w:t>
      </w:r>
    </w:p>
    <w:p>
      <w:pPr>
        <w:pStyle w:val="ListBullet"/>
      </w:pPr>
      <w:r>
        <w:t>☐ Restricciones PK, FK y CHECK según aplique.</w:t>
      </w:r>
    </w:p>
    <w:p>
      <w:pPr>
        <w:pStyle w:val="ListBullet"/>
      </w:pPr>
      <w:r>
        <w:t>☐ Procedimientos almacenados de mantenimiento por tabla.</w:t>
      </w:r>
    </w:p>
    <w:p>
      <w:pPr>
        <w:pStyle w:val="ListBullet"/>
      </w:pPr>
      <w:r>
        <w:t>☐ Al menos dos triggers funcionales.</w:t>
      </w:r>
    </w:p>
    <w:p>
      <w:pPr>
        <w:pStyle w:val="ListBullet"/>
      </w:pPr>
      <w:r>
        <w:t>☐ Procedimientos de consulta parametrizados.</w:t>
      </w:r>
    </w:p>
    <w:p>
      <w:pPr>
        <w:pStyle w:val="ListBullet"/>
      </w:pPr>
      <w:r>
        <w:t>☐ Login con distinción Cliente/Empleado o Administrativo.</w:t>
      </w:r>
    </w:p>
    <w:p>
      <w:pPr>
        <w:pStyle w:val="ListBullet"/>
      </w:pPr>
      <w:r>
        <w:t>☐ Tres registros de prueba por tabla.</w:t>
      </w:r>
    </w:p>
    <w:p>
      <w:pPr>
        <w:pStyle w:val="ListBullet"/>
      </w:pPr>
      <w:r>
        <w:t>☐ Script de SSMS con esquema, procedimientos, triggers y datos.</w:t>
      </w:r>
    </w:p>
    <w:p>
      <w:pPr>
        <w:pStyle w:val="ListBullet"/>
      </w:pPr>
      <w:r>
        <w:t>☐ Configuración y evidencias de Always On.</w:t>
      </w:r>
    </w:p>
    <w:p>
      <w:pPr>
        <w:pStyle w:val="ListBullet"/>
      </w:pPr>
      <w:r>
        <w:t>☐ Aplicativo con login, consulta y registro o modificación.</w:t>
      </w:r>
    </w:p>
    <w:p>
      <w:pPr>
        <w:pStyle w:val="ListBullet"/>
      </w:pPr>
      <w:r>
        <w:t>☐ Identificación del servidor/base activa en la demostración.</w:t>
      </w:r>
    </w:p>
    <w:p>
      <w:pPr>
        <w:pStyle w:val="ListBullet"/>
      </w:pPr>
      <w:r>
        <w:t>☐ Manual técnico y bitácora de éxitos, fallos y resoluciones.</w:t>
      </w:r>
    </w:p>
    <w:p>
      <w:pPr>
        <w:pStyle w:val="ListBullet"/>
      </w:pPr>
      <w:r>
        <w:t>☐ Prueba de fallo o documentación del avance y obstáculos.</w:t>
      </w:r>
    </w:p>
    <w:p>
      <w:pPr>
        <w:pStyle w:val="ListBullet"/>
      </w:pPr>
      <w:r>
        <w:t>☐ Exposición con participación y dominio de los tres integrantes.</w:t>
      </w:r>
    </w:p>
    <w:p>
      <w:pPr>
        <w:pStyle w:val="Heading1"/>
      </w:pPr>
      <w:r>
        <w:t>8. Evaluación del apartado de alta disponibilidad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Criterio</w:t>
            </w:r>
          </w:p>
        </w:tc>
        <w:tc>
          <w:tcPr>
            <w:tcW w:type="dxa" w:w="4896"/>
            <w:vAlign w:val="center"/>
          </w:tcPr>
          <w:p>
            <w:r>
              <w:t>Peso del apartado</w:t>
            </w:r>
          </w:p>
        </w:tc>
      </w:tr>
      <w:tr>
        <w:tc>
          <w:tcPr>
            <w:tcW w:type="dxa" w:w="4896"/>
            <w:vAlign w:val="center"/>
          </w:tcPr>
          <w:p>
            <w:r>
              <w:t>Documentación técnica</w:t>
            </w:r>
          </w:p>
        </w:tc>
        <w:tc>
          <w:tcPr>
            <w:tcW w:type="dxa" w:w="4896"/>
            <w:vAlign w:val="center"/>
          </w:tcPr>
          <w:p>
            <w:r>
              <w:t>30%</w:t>
            </w:r>
          </w:p>
        </w:tc>
      </w:tr>
      <w:tr>
        <w:tc>
          <w:tcPr>
            <w:tcW w:type="dxa" w:w="4896"/>
            <w:vAlign w:val="center"/>
          </w:tcPr>
          <w:p>
            <w:r>
              <w:t>Avance en la configuración</w:t>
            </w:r>
          </w:p>
        </w:tc>
        <w:tc>
          <w:tcPr>
            <w:tcW w:type="dxa" w:w="4896"/>
            <w:vAlign w:val="center"/>
          </w:tcPr>
          <w:p>
            <w:r>
              <w:t>30%</w:t>
            </w:r>
          </w:p>
        </w:tc>
      </w:tr>
      <w:tr>
        <w:tc>
          <w:tcPr>
            <w:tcW w:type="dxa" w:w="4896"/>
            <w:vAlign w:val="center"/>
          </w:tcPr>
          <w:p>
            <w:r>
              <w:t>Prueba de fallo</w:t>
            </w:r>
          </w:p>
        </w:tc>
        <w:tc>
          <w:tcPr>
            <w:tcW w:type="dxa" w:w="4896"/>
            <w:vAlign w:val="center"/>
          </w:tcPr>
          <w:p>
            <w:r>
              <w:t>5%</w:t>
            </w:r>
          </w:p>
        </w:tc>
      </w:tr>
      <w:tr>
        <w:tc>
          <w:tcPr>
            <w:tcW w:type="dxa" w:w="4896"/>
            <w:vAlign w:val="center"/>
          </w:tcPr>
          <w:p>
            <w:r>
              <w:t>Identificación de base activa</w:t>
            </w:r>
          </w:p>
        </w:tc>
        <w:tc>
          <w:tcPr>
            <w:tcW w:type="dxa" w:w="4896"/>
            <w:vAlign w:val="center"/>
          </w:tcPr>
          <w:p>
            <w:r>
              <w:t>5%</w:t>
            </w:r>
          </w:p>
        </w:tc>
      </w:tr>
      <w:tr>
        <w:tc>
          <w:tcPr>
            <w:tcW w:type="dxa" w:w="4896"/>
            <w:vAlign w:val="center"/>
          </w:tcPr>
          <w:p>
            <w:r>
              <w:t>Demostración mediante aplicativo</w:t>
            </w:r>
          </w:p>
        </w:tc>
        <w:tc>
          <w:tcPr>
            <w:tcW w:type="dxa" w:w="4896"/>
            <w:vAlign w:val="center"/>
          </w:tcPr>
          <w:p>
            <w:r>
              <w:t>10%</w:t>
            </w:r>
          </w:p>
        </w:tc>
      </w:tr>
      <w:tr>
        <w:tc>
          <w:tcPr>
            <w:tcW w:type="dxa" w:w="4896"/>
            <w:vAlign w:val="center"/>
          </w:tcPr>
          <w:p>
            <w:r>
              <w:t>Presentación y dominio individual</w:t>
            </w:r>
          </w:p>
        </w:tc>
        <w:tc>
          <w:tcPr>
            <w:tcW w:type="dxa" w:w="4896"/>
            <w:vAlign w:val="center"/>
          </w:tcPr>
          <w:p>
            <w:r>
              <w:t>20%</w:t>
            </w:r>
          </w:p>
        </w:tc>
      </w:tr>
    </w:tbl>
    <w:p>
      <w:pPr>
        <w:pStyle w:val="Heading1"/>
      </w:pPr>
      <w:r>
        <w:t>9. Estructura recomendada de carpetas</w:t>
      </w:r>
    </w:p>
    <w:p>
      <w:r>
        <w:rPr>
          <w:b w:val="0"/>
        </w:rPr>
        <w:t>database/: 01_Tablas_Restricciones, 02_Procedimientos_CRUD, 03_Consultas, 04_Autenticacion, 05_Triggers, 06_Datos_Prueba, 07_Script_Final.</w:t>
        <w:br/>
        <w:t>always_on/: Configuracion, Evidencias, Pruebas_Failover.</w:t>
        <w:br/>
        <w:t>aplicativo/: Codigo_Fuente, Pruebas.</w:t>
        <w:br/>
        <w:t>documentacion/: Manual_Tecnico, Evidencias, Presentacion.</w:t>
      </w:r>
    </w:p>
    <w:p>
      <w:pPr>
        <w:pStyle w:val="Heading1"/>
      </w:pPr>
      <w:r>
        <w:t>10. Riesgos y asuntos pendientes</w:t>
      </w:r>
    </w:p>
    <w:p>
      <w:pPr>
        <w:pStyle w:val="ListBullet"/>
      </w:pPr>
      <w:r>
        <w:t>La consigna no identifica las entidades concretas del proyecto previamente aprobado; no inventar el esquema ni sustituir las reglas de negocio.</w:t>
      </w:r>
    </w:p>
    <w:p>
      <w:pPr>
        <w:pStyle w:val="ListBullet"/>
      </w:pPr>
      <w:r>
        <w:t>Confirmar equipos adicionales y ediciones de SQL Server/Windows necesarios para el Always On elegido.</w:t>
      </w:r>
    </w:p>
    <w:p>
      <w:pPr>
        <w:pStyle w:val="ListBullet"/>
      </w:pPr>
      <w:r>
        <w:t>Tailscale conecta equipos, pero no crea por sí mismo un clúster ni un grupo de disponibilidad.</w:t>
      </w:r>
    </w:p>
    <w:p>
      <w:pPr>
        <w:pStyle w:val="ListBullet"/>
      </w:pPr>
      <w:r>
        <w:t>Definir lenguaje y tipo de aplicativo (consola, escritorio o web) según tiempo disponible.</w:t>
      </w:r>
    </w:p>
    <w:p>
      <w:pPr>
        <w:pStyle w:val="ListBullet"/>
      </w:pPr>
      <w:r>
        <w:t>La consigna solicita documentar también errores y configuraciones fallidas; la evidencia no sustituye automáticamente el funcionamiento exigido.</w:t>
      </w:r>
    </w:p>
    <w:p>
      <w:pPr>
        <w:pStyle w:val="Heading1"/>
      </w:pPr>
      <w:r>
        <w:t>11. Fuente y carácter del documento</w:t>
      </w:r>
    </w:p>
    <w:p>
      <w:r>
        <w:rPr>
          <w:b w:val="0"/>
        </w:rPr>
        <w:t>Fuente principal: “Proyecto 1.pdf”, Bases de datos avanzadas, III Cuatrimestre 2026, páginas 1–4. Los requerimientos de evaluación se extraen de la consigna; las divisiones por persona, cronograma, controles y estructura de carpetas son recomendaciones de organización para el equipo.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Proyecto 1 · DB_Avanzadas · Roadmap del equipo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F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3F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53F6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