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7: Para contador1=3, contador3=4, evaluar el resultado 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 = ++contador1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R2 = contador1 &lt; contador3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