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10: : Para i=22,j=3, evaluar el resultado de !((i&gt;4) || !(j&lt;=6))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!((22 &gt; 4) || !(3 &lt;= 6))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!((true || !(true))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!((true || false)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!((true)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C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D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2E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2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3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31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32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