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mostró que la mayoría de columnas de trtest (gestiones, pagos, alternativa aplicada, mora fin de mes) no están disponibles en oot.csv y, además, muestran una correlación contemporánea muy alta con el target, consistente con que describen eventos del mismo mes que se quiere predecir (detalle y evidencia en Anexo A, sección 4.2).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se compararon 3 familias de modelos sobre el mismo split (lineal, bagging, boosting) — ver Anexo A, sección 4.5 — y se seleccionó LightGBM por mayor AUC de validación con margen claro, confirmado por F1;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se validó PSI dic-2023 vs. oot=0.013 (sin cambio poblacional relevante); SHAP de oot coincide 8/10 con validación (ver Anexo A, secciones 4.7 y 4.8).</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49 pruebas automatizadas (42 dirigidas + 7 masivas sobre 400 casos sintéticos, 100% pasan, cobertura de código ~100% en los 7 módulos de decisión/seguridad) + 14 escenarios dirigidos cubriendo los 7 casos pedidos más robustez y seguridad. Umbral: 0% de ofertas no autorizadas y 0% de restricciones ignoradas (tolerancia cero). Probar el sistema de punta a punta —no solo cada capa por separado— encontró y corrigió 3 problemas reales antes de la entrega (detalle en Anexo C, sección 6.3).</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un modelo aprendido — se investigó esta última opción con los datos reales de la prueba y no es viable con lo entregado (detalle en Anexo B, sección 5.6).</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mantener la disciplina de auditar qué variables están realmente disponibles al momento de decidir — un punto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Usé Claude (Anthropic) como asistente de desarrollo de extremo a extremo: análisis exploratorio, identificación de variables no disponibles en oot.csv y con señal contemporánea alta frente al target, diseño del pipeline de features, entrenamiento del modelo, diseño de la arquitectura agéntica, e implementación de reglas/agentes/pruebas/documentación. Yo dirigí el alcance, las decisiones de negocio (cooldowns, prioridades, qué construir dado el tiempo disponible) y revisé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Variables excluidas: disponibilidad en oot y consistencia temporal</w:t>
      </w:r>
    </w:p>
    <w:p>
      <w:pPr>
        <w:spacing w:after="140"/>
      </w:pPr>
      <w:r>
        <w:rPr>
          <w:rFonts w:ascii="Calibri" w:cs="Calibri" w:eastAsia="Calibri" w:hAnsi="Calibri"/>
          <w:sz w:val="22"/>
          <w:szCs w:val="22"/>
        </w:rPr>
        <w:t xml:space="preserve">Al comparar trtest.csv contra oot.csv, la mayoría de las columnas de trtest (cant_gestiones, pago_mes, porc_pago_mes, marca_alternativa, dias_mora_fin, saldo_capital, entre otras) no están disponibles en oot. Adicionalmente, al revisar su correlación con la variable respuesta, estas mismas columnas muestran una correlación contemporánea inusualmente alta, consistente con que describen eventos ocurridos durante el mismo mes de la variable que se quiere predecir. Por ambas razones — no disponibilidad en oot y esa señal contemporánea difícil de justificar como predictiva — se decidió no usarlas en su versión del mismo mes: usarlas así habría producido un modelo con métricas artificialmente altas en validación, pero poco útil en producción, porque esa información no está disponible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4.2.1 Evidencia de respaldo: correlación contemporánea vs. rezagada</w:t>
      </w:r>
    </w:p>
    <w:p>
      <w:pPr>
        <w:spacing w:after="140"/>
      </w:pPr>
      <w:r>
        <w:rPr>
          <w:rFonts w:ascii="Calibri" w:cs="Calibri" w:eastAsia="Calibri" w:hAnsi="Calibri"/>
          <w:sz w:val="22"/>
          <w:szCs w:val="22"/>
        </w:rPr>
        <w:t xml:space="preserve">notebooks/01_eda.py mide, para cada columna, su correlación con el target en versión contemporánea (mismo mes) contra su versión rezagada a t-1. La caída es notoria y es coherente con que la correlación contemporánea refleja información no disponible al momento real de la decisión, más que señal predictiva propia: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600"/>
      </w:tblGrid>
      <w:tr>
        <w:trPr>
          <w:tblHeader/>
        </w:trPr>
        <w:tc>
          <w:tcPr>
            <w:tcW w:type="dxa" w:w="3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contemporánea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rezagada (t-1)</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marca_alternativa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0.87</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0.07</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0.48</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dias_mora_fin</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0.35</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0.00</w:t>
            </w:r>
          </w:p>
        </w:tc>
      </w:tr>
    </w:tbl>
    <w:p>
      <w:pPr>
        <w:spacing w:after="20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40"/>
      </w:pPr>
      <w:r>
        <w:rPr>
          <w:rFonts w:ascii="Calibri" w:cs="Calibri" w:eastAsia="Calibri" w:hAnsi="Calibri"/>
          <w:sz w:val="22"/>
          <w:szCs w:val="22"/>
        </w:rPr>
        <w:t xml:space="preserve">El conjunto de variables también se depura progresivamente a medida que avanza el pipeline (49 columnas crudas → 14 tras excluir IDs y las columnas recién descritas → 45 con historial propio rezagado → 81 con demografía → 85 con scores del banco → 92 con historial de cuotas/pagos → 76 variables finales, intersección con oot.csv):</w:t>
      </w:r>
    </w:p>
    <w:p>
      <w:pPr>
        <w:spacing w:after="20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Selección de modelo: por qué LightGBM y no otra alternativa</w:t>
      </w:r>
    </w:p>
    <w:p>
      <w:pPr>
        <w:spacing w:after="140"/>
      </w:pPr>
      <w:r>
        <w:rPr>
          <w:rFonts w:ascii="Calibri" w:cs="Calibri" w:eastAsia="Calibri" w:hAnsi="Calibri"/>
          <w:sz w:val="22"/>
          <w:szCs w:val="22"/>
        </w:rPr>
        <w:t xml:space="preserve">Para no elegir LightGBM "por defecto", notebooks/02_model_comparison.py entrena, sobre el mismo split temporal y el mismo conjunto de 76 variables, tres familias de algoritmos — lineal, bagging y boosting: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550"/>
        <w:gridCol w:w="1550"/>
        <w:gridCol w:w="1750"/>
        <w:gridCol w:w="135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Modelo</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train</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valid</w:t>
            </w:r>
          </w:p>
        </w:tc>
        <w:tc>
          <w:tcPr>
            <w:tcW w:type="dxa" w:w="17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Brecha train-valid</w:t>
            </w:r>
          </w:p>
        </w:tc>
        <w:tc>
          <w:tcPr>
            <w:tcW w:type="dxa" w:w="13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F1 valid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Regresión Logística</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0.708</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0.685</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0.022</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0.649</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Random Forest</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0.730</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0.705</w:t>
            </w:r>
          </w:p>
        </w:tc>
        <w:tc>
          <w:tcPr>
            <w:tcW w:type="dxa" w:w="17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0.025</w:t>
            </w:r>
          </w:p>
        </w:tc>
        <w:tc>
          <w:tcPr>
            <w:tcW w:type="dxa" w:w="13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0.660</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(seleccionado)</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0.782</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0.053</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bl>
    <w:p>
      <w:pPr>
        <w:spacing w:after="20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19350"/>
                    </a:xfrm>
                    <a:prstGeom prst="rect">
                      <a:avLst/>
                    </a:prstGeom>
                  </pic:spPr>
                </pic:pic>
              </a:graphicData>
            </a:graphic>
          </wp:inline>
        </w:drawing>
      </w:r>
    </w:p>
    <w:p>
      <w:pPr>
        <w:spacing w:after="140"/>
      </w:pPr>
      <w:r>
        <w:rPr>
          <w:rFonts w:ascii="Calibri" w:cs="Calibri" w:eastAsia="Calibri" w:hAnsi="Calibri"/>
          <w:sz w:val="22"/>
          <w:szCs w:val="22"/>
        </w:rPr>
        <w:t xml:space="preserve">Criterio de selección: se prioriza el mayor AUC de validación; la brecha train-valid solo se usa como desempate si dos modelos quedan a menos de 0.005 de AUC entre sí (no es el caso: LightGBM saca 2.4 puntos de AUC sobre Random Forest, una diferencia clara, no ruido). LightGBM gana con margen en AUC y en F1 —la métrica real de evaluación de la prueba— pese a tener la brecha train-valid más alta de los tres, un nivel moderado y ya controlado activamente en el pipeline (feature_fraction/bagging_fraction=0.8, min_data_in_leaf=100, early stopping).</w:t>
      </w:r>
    </w:p>
    <w:p>
      <w:pPr>
        <w:spacing w:after="140"/>
      </w:pPr>
      <w:r>
        <w:rPr>
          <w:rFonts w:ascii="Calibri" w:cs="Calibri" w:eastAsia="Calibri" w:hAnsi="Calibri"/>
          <w:sz w:val="22"/>
          <w:szCs w:val="22"/>
        </w:rPr>
        <w:t xml:space="preserve">Nota de honestidad metodológica: la comparación favorece estructuralmente a LightGBM en un aspecto real, no accidental — maneja categóricas/nulos de forma nativa, mientras que Regresión Logística y Random Forest necesitaron one-hot + imputación (con ciiu, 446 categorías, agrupado a las 15 más frecuentes por necesidad de esos dos modelos). Esa capacidad nativa es justamente relevante para estos datos, no un artefacto que deba corregirse.</w:t>
      </w:r>
    </w:p>
    <w:p>
      <w:pPr>
        <w:pStyle w:val="Heading3"/>
        <w:spacing w:after="140" w:before="280"/>
      </w:pPr>
      <w:r>
        <w:rPr>
          <w:rFonts w:ascii="Calibri" w:cs="Calibri" w:eastAsia="Calibri" w:hAnsi="Calibri"/>
          <w:b/>
          <w:bCs/>
          <w:color w:val="1F3B57"/>
        </w:rPr>
        <w:t xml:space="preserve">4.5.1 Configuración de hiperparámetros</w:t>
      </w:r>
    </w:p>
    <w:p>
      <w:pPr>
        <w:spacing w:after="140"/>
      </w:pPr>
      <w:r>
        <w:rPr>
          <w:rFonts w:ascii="Calibri" w:cs="Calibri" w:eastAsia="Calibri" w:hAnsi="Calibri"/>
          <w:sz w:val="22"/>
          <w:szCs w:val="22"/>
        </w:rPr>
        <w:t xml:space="preserve">La configuración final de LightGBM surge de una búsqueda controlada y dirigida —no una grilla exhaustiva— apoyada en buenas prácticas conocidas para boosting sobre datos tabulares con riesgo de sobreajuste: regularización vía muestreo de filas y columnas, tamaño mínimo de hoja, y early stopping sobre el conjunto de validación: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Hiperparámetro</w:t>
            </w:r>
          </w:p>
        </w:tc>
        <w:tc>
          <w:tcPr>
            <w:tcW w:type="dxa" w:w="2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 final</w:t>
            </w:r>
          </w:p>
        </w:tc>
        <w:tc>
          <w:tcPr>
            <w:tcW w:type="dxa" w:w="43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Propósito</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learning_rate</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Paso de aprendizaje conservador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num_leaves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63</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Complejidad del árbol</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min_data_in_leaf</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100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Evita hojas sobreajustadas a pocos casos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feature_fraction</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columnas por árbol (regularización)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bagging_fraction</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filas por iteración (regularización)</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early_stopping_rounds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50</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Detiene el entrenamiento si valid no mejora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num_boost_round (máx.)</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2000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Techo; mejor iteración real alcanzada: 370</w:t>
            </w:r>
          </w:p>
        </w:tc>
      </w:tr>
    </w:tbl>
    <w:p>
      <w:pPr>
        <w:spacing w:after="140"/>
      </w:pPr>
      <w:r>
        <w:rPr>
          <w:rFonts w:ascii="Calibri" w:cs="Calibri" w:eastAsia="Calibri" w:hAnsi="Calibri"/>
          <w:sz w:val="22"/>
          <w:szCs w:val="22"/>
        </w:rPr>
        <w:t xml:space="preserve">Random Forest y Regresión Logística (los otros dos modelos comparados en la sección 4.5) usan igualmente una configuración fija con el mismo criterio de regularización (p. ej. Random Forest: n_estimators=200, max_depth=12, min_samples_leaf=50), sin una búsqueda adicional sobre ellos, dado que no fueron los modelos seleccionados.</w:t>
      </w:r>
    </w:p>
    <w:p>
      <w:pPr>
        <w:spacing w:after="140"/>
      </w:pPr>
      <w:r>
        <w:rPr>
          <w:rFonts w:ascii="Calibri" w:cs="Calibri" w:eastAsia="Calibri" w:hAnsi="Calibri"/>
          <w:sz w:val="22"/>
          <w:szCs w:val="22"/>
        </w:rPr>
        <w:t xml:space="preserve">Oportunidad de mejora: esta búsqueda dirigida se puede ampliar a una grilla más exigente (grid search, random search u Optuna) sobre un rango más amplio de valores si se quisiera explorar el espacio de hiperparámetros de forma más sistemática — a costa de mayor capacidad de cómputo y tiempo de entrenamiento, no justificado dentro del alcance de esta prueba.</w:t>
      </w:r>
    </w:p>
    <w:p>
      <w:pPr>
        <w:pStyle w:val="Heading2"/>
        <w:spacing w:after="140" w:before="280"/>
      </w:pPr>
      <w:r>
        <w:rPr>
          <w:rFonts w:ascii="Calibri" w:cs="Calibri" w:eastAsia="Calibri" w:hAnsi="Calibri"/>
          <w:b/>
          <w:bCs/>
          <w:color w:val="1F3B57"/>
        </w:rPr>
        <w:t xml:space="preserve">4.6 Selección final: estabilidad temporal e interpretabilidad</w:t>
      </w:r>
    </w:p>
    <w:p>
      <w:pPr>
        <w:spacing w:after="140"/>
      </w:pPr>
      <w:r>
        <w:rPr>
          <w:rFonts w:ascii="Calibri" w:cs="Calibri" w:eastAsia="Calibri" w:hAnsi="Calibri"/>
          <w:sz w:val="22"/>
          <w:szCs w:val="22"/>
        </w:rPr>
        <w:t xml:space="preserve">Con LightGBM ya seleccionado, se corren dos análisis adicionales sobre ese mismo modelo (dentro del mismo script, para no duplicar lógica de entrenamiento):</w:t>
      </w:r>
    </w:p>
    <w:p>
      <w:pPr>
        <w:pStyle w:val="Heading3"/>
        <w:spacing w:after="140" w:before="280"/>
      </w:pPr>
      <w:r>
        <w:rPr>
          <w:rFonts w:ascii="Calibri" w:cs="Calibri" w:eastAsia="Calibri" w:hAnsi="Calibri"/>
          <w:b/>
          <w:bCs/>
          <w:color w:val="1F3B57"/>
        </w:rPr>
        <w:t xml:space="preserve">4.6.1 Estabilidad temporal (backtesting de ventana expansiva)</w:t>
      </w:r>
    </w:p>
    <w:p>
      <w:pPr>
        <w:spacing w:after="140"/>
      </w:pPr>
      <w:r>
        <w:rPr>
          <w:rFonts w:ascii="Calibri" w:cs="Calibri" w:eastAsia="Calibri" w:hAnsi="Calibri"/>
          <w:sz w:val="22"/>
          <w:szCs w:val="22"/>
        </w:rPr>
        <w:t xml:space="preserve">En vez de confiar en un único mes de validación, para cada mes desde septiembre se entrena solo con los meses anteriores y se mide AUC/F1 en un mes que el modelo nunca vio en ese entrenamiento. Resultado: AUC entre 0.714 y 0.754 en los 4 meses evaluados (media 0.731, desviación estándar 0.017) — el modelo es estable en el tiempo, sin señales de degradación abrupta mes a mes.</w:t>
      </w:r>
    </w:p>
    <w:p>
      <w:pPr>
        <w:spacing w:after="20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48025"/>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4.6.2 Interpretabilidad: importancia de variables y SHAP</w:t>
      </w:r>
    </w:p>
    <w:p>
      <w:pPr>
        <w:spacing w:after="140"/>
      </w:pPr>
      <w:r>
        <w:rPr>
          <w:rFonts w:ascii="Calibri" w:cs="Calibri" w:eastAsia="Calibri" w:hAnsi="Calibri"/>
          <w:sz w:val="22"/>
          <w:szCs w:val="22"/>
        </w:rPr>
        <w:t xml:space="preserve">El ranking de importancia por ganancia confirma lo reportado en la sección 4.7: marca_pago_prev, los 3 scores del banco, cuota_prev y porc_pago_mean_3m dominan. El gráfico SHAP añade la DIRECCIÓN del efecto por observación: por ejemplo, mayor prev_dias_mora_fin (más mora el mes anterior) empuja la probabilidad de aceptación hacia arriba, consistente con que un cliente con mora reciente esté más dispuesto a aceptar una opción de pago.</w:t>
      </w:r>
    </w:p>
    <w:p>
      <w:pPr>
        <w:spacing w:after="200" w:before="120"/>
        <w:jc w:val="center"/>
      </w:pPr>
      <w:r>
        <w:drawing>
          <wp:inline distT="0" distB="0" distL="0" distR="0">
            <wp:extent cx="4953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848100"/>
                    </a:xfrm>
                    <a:prstGeom prst="rect">
                      <a:avLst/>
                    </a:prstGeom>
                  </pic:spPr>
                </pic:pic>
              </a:graphicData>
            </a:graphic>
          </wp:inline>
        </w:drawing>
      </w:r>
    </w:p>
    <w:p>
      <w:pPr>
        <w:spacing w:after="200" w:before="120"/>
        <w:jc w:val="center"/>
      </w:pPr>
      <w:r>
        <w:drawing>
          <wp:inline distT="0" distB="0" distL="0" distR="0">
            <wp:extent cx="4572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429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4.7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4.8 Validación de la muestra OOT entregada (resultado_prueba.csv)</w:t>
      </w:r>
    </w:p>
    <w:p>
      <w:pPr>
        <w:spacing w:after="140"/>
      </w:pPr>
      <w:r>
        <w:rPr>
          <w:rFonts w:ascii="Calibri" w:cs="Calibri" w:eastAsia="Calibri" w:hAnsi="Calibri"/>
          <w:sz w:val="22"/>
          <w:szCs w:val="22"/>
        </w:rPr>
        <w:t xml:space="preserve">resultado_prueba.csv NO es una simulación: son las 112.549 obligaciones reales (enmascaradas) de oot.csv (enero-2024) puntuadas por el modelo final — distinto del set de validación interno (dic-2023, con respuesta conocida) usado para medir AUC/F1. notebooks/03_analisis_oot_puntuada.py valida que esta entrega no tenga un comportamiento raro, en tres frentes:</w:t>
      </w:r>
    </w:p>
    <w:p>
      <w:pPr>
        <w:pStyle w:val="ListParagraph"/>
        <w:numPr>
          <w:ilvl w:val="0"/>
          <w:numId w:val="2"/>
        </w:numPr>
        <w:spacing w:after="80"/>
      </w:pPr>
      <w:r>
        <w:rPr>
          <w:rFonts w:ascii="Calibri" w:cs="Calibri" w:eastAsia="Calibri" w:hAnsi="Calibri"/>
          <w:sz w:val="22"/>
          <w:szCs w:val="22"/>
        </w:rPr>
        <w:t xml:space="preserve">Reproducibilidad: recalcula la predicción desde el modelo guardado (results/model_lgbm.txt) y confirma que coincide con resultado_prueba.csv con una diferencia máxima de 1.11e-16 — el mismo número, salvo redondeo de punto flotante.</w:t>
      </w:r>
    </w:p>
    <w:p>
      <w:pPr>
        <w:pStyle w:val="ListParagraph"/>
        <w:numPr>
          <w:ilvl w:val="0"/>
          <w:numId w:val="2"/>
        </w:numPr>
        <w:spacing w:after="80"/>
      </w:pPr>
      <w:r>
        <w:rPr>
          <w:rFonts w:ascii="Calibri" w:cs="Calibri" w:eastAsia="Calibri" w:hAnsi="Calibri"/>
          <w:sz w:val="22"/>
          <w:szCs w:val="22"/>
        </w:rPr>
        <w:t xml:space="preserve">PSI (Population Stability Index) entre el score de diciembre-2023 (validación) y el de enero-2024 (la OOT entregada): 0.013, muy por debajo del umbral de 0.1 — sin cambio poblacional relevante de un mes a otro. Las dos distribuciones se superponen casi por completo:</w:t>
      </w:r>
    </w:p>
    <w:p>
      <w:pPr>
        <w:spacing w:after="200" w:before="120"/>
        <w:jc w:val="center"/>
      </w:pPr>
      <w:r>
        <w:drawing>
          <wp:inline distT="0" distB="0" distL="0" distR="0">
            <wp:extent cx="5524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71875"/>
                    </a:xfrm>
                    <a:prstGeom prst="rect">
                      <a:avLst/>
                    </a:prstGeom>
                  </pic:spPr>
                </pic:pic>
              </a:graphicData>
            </a:graphic>
          </wp:inline>
        </w:drawing>
      </w:r>
    </w:p>
    <w:p>
      <w:pPr>
        <w:pStyle w:val="ListParagraph"/>
        <w:numPr>
          <w:ilvl w:val="0"/>
          <w:numId w:val="2"/>
        </w:numPr>
        <w:spacing w:after="80"/>
      </w:pPr>
      <w:r>
        <w:rPr>
          <w:rFonts w:ascii="Calibri" w:cs="Calibri" w:eastAsia="Calibri" w:hAnsi="Calibri"/>
          <w:sz w:val="22"/>
          <w:szCs w:val="22"/>
        </w:rPr>
        <w:t xml:space="preserve">SHAP sobre la OOT: el ranking de variables más influyentes en enero-2024 coincide en 8 de las 10 principales con el ranking visto en validación, y con la misma dirección de efecto — la explicación del modelo es coherente entre el mundo donde se validó y el mundo donde se aplica de verdad.</w:t>
      </w:r>
    </w:p>
    <w:p>
      <w:pPr>
        <w:spacing w:after="200" w:before="120"/>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4095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4.9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Dockerfile + docker/requirements.txt IMPLEMENTADOS (empaquetan src/data_prep.py + src/train.py, datos/modelo montados como volumen, no horneados en la imagen); contrato de datos explícito y pruebas de contrato: propuestos.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IMPLEMENTADO (.github/workflows/ci.yml): corre las 49 pruebas (42 dirigidas + 7 masivas) y valida el build de la imagen Docker en cada push/PR a main; CD con evaluación shadow y despliegue canario antes de promover: propuesto.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ListParagraph"/>
        <w:numPr>
          <w:ilvl w:val="0"/>
          <w:numId w:val="2"/>
        </w:numPr>
        <w:spacing w:after="80"/>
      </w:pPr>
      <w:r>
        <w:rPr>
          <w:rFonts w:ascii="Calibri" w:cs="Calibri" w:eastAsia="Calibri" w:hAnsi="Calibri"/>
          <w:sz w:val="22"/>
          <w:szCs w:val="22"/>
        </w:rPr>
        <w:t xml:space="preserve">Incumplimiento reciente (≤ 90 días) de un acuerdo/opción de pago, detectado en el historial de gestión de la propia obligación: bloquea toda oferta nueva y escala, sin depender de que el cliente lo admita (ver sección 5.6.1).</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reciente de un acuerdo previo escalan siempre a un gestor humano. El incumplimiento se detecta en dos capas: proactivamente sobre el historial estructurado, y como red de seguridad si el cliente lo admite en la conversación y el historial aún no lo refleja (rezago de datos).</w:t>
      </w:r>
    </w:p>
    <w:p>
      <w:pPr>
        <w:pStyle w:val="Heading2"/>
        <w:spacing w:after="140" w:before="280"/>
      </w:pPr>
      <w:r>
        <w:rPr>
          <w:rFonts w:ascii="Calibri" w:cs="Calibri" w:eastAsia="Calibri" w:hAnsi="Calibri"/>
          <w:b/>
          <w:bCs/>
          <w:color w:val="1F3B57"/>
        </w:rPr>
        <w:t xml:space="preserve">5.6 ¿Por qué la priorización del NBA es una regla y no un modelo?</w:t>
      </w:r>
    </w:p>
    <w:p>
      <w:pPr>
        <w:spacing w:after="140"/>
      </w:pPr>
      <w:r>
        <w:rPr>
          <w:rFonts w:ascii="Calibri" w:cs="Calibri" w:eastAsia="Calibri" w:hAnsi="Calibri"/>
          <w:sz w:val="22"/>
          <w:szCs w:val="22"/>
        </w:rPr>
        <w:t xml:space="preserve">Una siguiente-mejor-acción "aprendida" —un modelo que, dado el perfil del cliente, prediga cuál de las alternativas elegibles tiene mayor probabilidad de ser aceptada, en vez de un orden fijo por severidad de mora— es el enfoque más sofisticado y el que se investigó explícitamente para esta prueba, no una idea descartada sin mirar.</w:t>
      </w:r>
    </w:p>
    <w:p>
      <w:pPr>
        <w:pStyle w:val="Heading3"/>
        <w:spacing w:after="140" w:before="280"/>
      </w:pPr>
      <w:r>
        <w:rPr>
          <w:rFonts w:ascii="Calibri" w:cs="Calibri" w:eastAsia="Calibri" w:hAnsi="Calibri"/>
          <w:b/>
          <w:bCs/>
          <w:color w:val="1F3B57"/>
        </w:rPr>
        <w:t xml:space="preserve">5.6.1 Lo que sí hay en los datos</w:t>
      </w:r>
    </w:p>
    <w:p>
      <w:pPr>
        <w:spacing w:after="140"/>
      </w:pPr>
      <w:r>
        <w:rPr>
          <w:rFonts w:ascii="Calibri" w:cs="Calibri" w:eastAsia="Calibri" w:hAnsi="Calibri"/>
          <w:sz w:val="22"/>
          <w:szCs w:val="22"/>
        </w:rPr>
        <w:t xml:space="preserve">trtest.csv sí trae, por obligación-mes, hasta 3 alternativas candidatas (desc_alternativa1/2/3) y cuántas había disponibles (cant_alter_posibles) — exactamente el insumo que un modelo de este tipo necesitaría.</w:t>
      </w:r>
    </w:p>
    <w:p>
      <w:pPr>
        <w:pStyle w:val="Heading3"/>
        <w:spacing w:after="140" w:before="280"/>
      </w:pPr>
      <w:r>
        <w:rPr>
          <w:rFonts w:ascii="Calibri" w:cs="Calibri" w:eastAsia="Calibri" w:hAnsi="Calibri"/>
          <w:b/>
          <w:bCs/>
          <w:color w:val="1F3B57"/>
        </w:rPr>
        <w:t xml:space="preserve">5.6.2 Por qué no se implementó aquí (verificado, no supuesto)</w:t>
      </w:r>
    </w:p>
    <w:p>
      <w:pPr>
        <w:spacing w:after="140"/>
      </w:pPr>
      <w:r>
        <w:rPr>
          <w:rFonts w:ascii="Calibri" w:cs="Calibri" w:eastAsia="Calibri" w:hAnsi="Calibri"/>
          <w:sz w:val="22"/>
          <w:szCs w:val="22"/>
        </w:rPr>
        <w:t xml:space="preserve">Se verificó si esas columnas están en oot.csv, la base que la prueba pide calificar: ninguna lo está (ni desc_alternativa1/2/3, ni cant_alter_posibles, ni las demás marcas de alternativa aplicada). Es la misma limitación ya documentada para producto/banca en la sección 4.9 — un modelo así se podría entrenar con trtest, pero no habría cómo aplicarlo ni validarlo sobre la muestra que esta prueba puntual exige entregar.</w:t>
      </w:r>
    </w:p>
    <w:p>
      <w:pPr>
        <w:pStyle w:val="Heading3"/>
        <w:spacing w:after="140" w:before="280"/>
      </w:pPr>
      <w:r>
        <w:rPr>
          <w:rFonts w:ascii="Calibri" w:cs="Calibri" w:eastAsia="Calibri" w:hAnsi="Calibri"/>
          <w:b/>
          <w:bCs/>
          <w:color w:val="1F3B57"/>
        </w:rPr>
        <w:t xml:space="preserve">5.6.3 La dificultad adicional si se hiciera en producción</w:t>
      </w:r>
    </w:p>
    <w:p>
      <w:pPr>
        <w:spacing w:after="140"/>
      </w:pPr>
      <w:r>
        <w:rPr>
          <w:rFonts w:ascii="Calibri" w:cs="Calibri" w:eastAsia="Calibri" w:hAnsi="Calibri"/>
          <w:sz w:val="22"/>
          <w:szCs w:val="22"/>
        </w:rPr>
        <w:t xml:space="preserve">Incluso con esos datos disponibles, no se puede modelar ingenuamente "probabilidad de aceptar | se le ofreció la alternativa X" con el histórico tal cual: la alternativa ofrecida en el pasado no fue asignada al azar, sino por una regla o un asesor ya sesgada hacia el perfil del cliente. Habría que usar una técnica de tipo uplift/causal (efecto incremental de cada alternativa sobre la probabilidad de aceptación), no un clasificador directo, para no confundir "esta alternativa funciona mejor" con "esta alternativa se le dio a los clientes que de todas formas iban a aceptar".</w:t>
      </w:r>
    </w:p>
    <w:p>
      <w:pPr>
        <w:spacing w:after="140"/>
      </w:pPr>
      <w:r>
        <w:rPr>
          <w:rFonts w:ascii="Calibri" w:cs="Calibri" w:eastAsia="Calibri" w:hAnsi="Calibri"/>
          <w:b/>
          <w:bCs/>
          <w:sz w:val="22"/>
          <w:szCs w:val="22"/>
        </w:rPr>
        <w:t xml:space="preserve">Conclusión: </w:t>
      </w:r>
      <w:r>
        <w:rPr>
          <w:rFonts w:ascii="Calibri" w:cs="Calibri" w:eastAsia="Calibri" w:hAnsi="Calibri"/>
          <w:sz w:val="22"/>
          <w:szCs w:val="22"/>
        </w:rPr>
        <w:t xml:space="preserve">queda como la oportunidad de mejora de mayor impacto potencial para producción (sección 6.5), condicionada a que el motor de preaprobación exponga las alternativas candidatas al momento del scoring — hoy ausentes de la base de calificación de esta prueba.</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spacing w:after="140"/>
      </w:pPr>
      <w:r>
        <w:rPr>
          <w:rFonts w:ascii="Calibri" w:cs="Calibri" w:eastAsia="Calibri" w:hAnsi="Calibri"/>
          <w:b/>
          <w:bCs/>
          <w:sz w:val="22"/>
          <w:szCs w:val="22"/>
        </w:rPr>
        <w:t xml:space="preserve">Por qué se prueba distinto que el modelo de la Parte 1: </w:t>
      </w:r>
      <w:r>
        <w:rPr>
          <w:rFonts w:ascii="Calibri" w:cs="Calibri" w:eastAsia="Calibri" w:hAnsi="Calibri"/>
          <w:sz w:val="22"/>
          <w:szCs w:val="22"/>
        </w:rPr>
        <w:t xml:space="preserve">el modelo predice, así que se evalúa con métricas de error y se acepta una tasa de falla. El sistema agéntico codifica políticas que el banco ya decidió: no predice nada, así que el criterio correcto es cero incidentes de cumplimiento, no una tasa de error. Por eso se exige 100% en reglas de negocio y seguridad, y por eso conviene probar varias capas juntas, no solo cada una por separado (ver sección 6.3).</w:t>
      </w:r>
    </w:p>
    <w:p>
      <w:pPr>
        <w:pStyle w:val="Heading2"/>
        <w:spacing w:after="140" w:before="280"/>
      </w:pPr>
      <w:r>
        <w:rPr>
          <w:rFonts w:ascii="Calibri" w:cs="Calibri" w:eastAsia="Calibri" w:hAnsi="Calibri"/>
          <w:b/>
          <w:bCs/>
          <w:color w:val="1F3B57"/>
        </w:rPr>
        <w:t xml:space="preserve">6.1 Pruebas automatizadas: dirigidas y masivas</w:t>
      </w:r>
    </w:p>
    <w:p>
      <w:pPr>
        <w:spacing w:after="140"/>
      </w:pPr>
      <w:r>
        <w:rPr>
          <w:rFonts w:ascii="Calibri" w:cs="Calibri" w:eastAsia="Calibri" w:hAnsi="Calibri"/>
          <w:sz w:val="22"/>
          <w:szCs w:val="22"/>
        </w:rPr>
        <w:t xml:space="preserve">49 pruebas, 100% pasan, de dos tipos complementarios y deliberadamente distintos en su lógica. Cobertura de código (pytest --cov=agentic): 100% en los 7 módulos de decisión/seguridad (reglas de negocio, NBA, guardrails, orquestador, modelos, trazabilidad, generador de casos sintéticos), 99% en el agente conversacional (la única línea sin cubrir es un respaldo defensivo inalcanzable con las 5 acciones actuales).</w:t>
      </w:r>
    </w:p>
    <w:p>
      <w:pPr>
        <w:pStyle w:val="Heading3"/>
        <w:spacing w:after="140" w:before="280"/>
      </w:pPr>
      <w:r>
        <w:rPr>
          <w:rFonts w:ascii="Calibri" w:cs="Calibri" w:eastAsia="Calibri" w:hAnsi="Calibri"/>
          <w:b/>
          <w:bCs/>
          <w:color w:val="1F3B57"/>
        </w:rPr>
        <w:t xml:space="preserve">6.1.1 Pruebas dirigidas (42)</w:t>
      </w:r>
    </w:p>
    <w:p>
      <w:pPr>
        <w:spacing w:after="140"/>
      </w:pPr>
      <w:r>
        <w:rPr>
          <w:rFonts w:ascii="Calibri" w:cs="Calibri" w:eastAsia="Calibri" w:hAnsi="Calibri"/>
          <w:sz w:val="22"/>
          <w:szCs w:val="22"/>
        </w:rPr>
        <w:t xml:space="preserve">Casos puntuales escritos a mano, pensados para validar un comportamiento conocido y servir además como especificación legible del sistema. Organizadas en 6 capas: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 incumplimiento reciente bloquea y escala (y se libera pasada la ventana).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 rama de acuerdo de pago.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bloqueo de identificadores internos filtrados por error.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NLU (clasificación de intención aislada)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Cada patrón léxico clasifica el mensaje en la intención correcta.</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Agente conversacional (respuesta end-to-end)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La RESPUESTA generada es la correcta, no solo la etiqueta; interacción entre guardrails y NLU cuando ambos podrían aplicar.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 (orquestador)</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 incumplimiento (proactivo y por admisión del cliente) escala en ambas rutas.</w:t>
            </w:r>
          </w:p>
        </w:tc>
      </w:tr>
    </w:tbl>
    <w:p>
      <w:pPr>
        <w:pStyle w:val="Heading3"/>
        <w:spacing w:after="140" w:before="280"/>
      </w:pPr>
      <w:r>
        <w:rPr>
          <w:rFonts w:ascii="Calibri" w:cs="Calibri" w:eastAsia="Calibri" w:hAnsi="Calibri"/>
          <w:b/>
          <w:bCs/>
          <w:color w:val="1F3B57"/>
        </w:rPr>
        <w:t xml:space="preserve">6.1.2 Pruebas masivas (7 pruebas sobre 400 casos sintéticos)</w:t>
      </w:r>
    </w:p>
    <w:p>
      <w:pPr>
        <w:spacing w:after="140"/>
      </w:pPr>
      <w:r>
        <w:rPr>
          <w:rFonts w:ascii="Calibri" w:cs="Calibri" w:eastAsia="Calibri" w:hAnsi="Calibri"/>
          <w:sz w:val="22"/>
          <w:szCs w:val="22"/>
        </w:rPr>
        <w:t xml:space="preserve">Complemento a las pruebas dirigidas: con casos escritos a mano siempre queda la duda de si las garantías se sostienen también en combinaciones no anticipadas. agentic/generador_aleatorio.py genera 400 obligaciones sintéticas con una semilla fija (reproducible), variando aleatoriamente mora, saldo, alternativas preaprobadas (incluyendo casos con más de 3, a propósito), historial de aplicaciones y gestiones (incluyendo incumplimientos dentro y fuera de ventana), restricciones duras y scores. Es deliberadamente sintética y no usa trtest.csv: la suite del sistema agéntico sigue sin depender de los datos confidenciales de la Parte 1 y corre igual en cualquier equipo o en GitHub Actions. Sobre esa muestra se verifican 5 invariantes de negocio que deben cumplirse siempre, sin una sola excepción: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800"/>
        <w:gridCol w:w="3000"/>
      </w:tblGrid>
      <w:tr>
        <w:trPr>
          <w:tblHeader/>
        </w:trPr>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Invariante verificada sobre los 400 casos</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dura → siempre escala, cero alternativas ofrecidas</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reciente (≤90 días) → siempre escala, cero ofertas</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Opción de pago ya vigente → nunca recibe una nueva oferta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Ninguna alternativa ofrecida está en cooldown</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r>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Nunca quedan más de 3 alternativas elegibles</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 violaciones</w:t>
            </w:r>
          </w:p>
        </w:tc>
      </w:tr>
    </w:tbl>
    <w:p>
      <w:pPr>
        <w:spacing w:after="140"/>
      </w:pPr>
      <w:r>
        <w:rPr>
          <w:rFonts w:ascii="Calibri" w:cs="Calibri" w:eastAsia="Calibri" w:hAnsi="Calibri"/>
          <w:sz w:val="22"/>
          <w:szCs w:val="22"/>
        </w:rPr>
        <w:t xml:space="preserve">Más una prueba de forma que protege contra que a futuro se agregue una acción al NBA sin actualizar esta batería. El script agentic/prueba_masiva.py corre la misma simulación por fuera de pytest y guarda el detalle completo en results/resumen_prueba_masiva.json, útil como evidencia sin depender de correr la suite de pruebas.</w:t>
      </w:r>
    </w:p>
    <w:p>
      <w:pPr>
        <w:pStyle w:val="Heading2"/>
        <w:spacing w:after="140" w:before="280"/>
      </w:pPr>
      <w:r>
        <w:rPr>
          <w:rFonts w:ascii="Calibri" w:cs="Calibri" w:eastAsia="Calibri" w:hAnsi="Calibri"/>
          <w:b/>
          <w:bCs/>
          <w:color w:val="1F3B57"/>
        </w:rPr>
        <w:t xml:space="preserve">6.2 Escenarios funcionales dirigidos (14)</w:t>
      </w:r>
    </w:p>
    <w:p>
      <w:pPr>
        <w:spacing w:after="140"/>
      </w:pPr>
      <w:r>
        <w:rPr>
          <w:rFonts w:ascii="Calibri" w:cs="Calibri" w:eastAsia="Calibri" w:hAnsi="Calibri"/>
          <w:sz w:val="22"/>
          <w:szCs w:val="22"/>
        </w:rPr>
        <w:t xml:space="preserve">Cubren explícitamente los 7 casos pedidos en el enunciado más 3 de robustez/seguridad. Perfiles y conversaciones 100% ficticios. 7 de 14 (50%) terminan en escalamiento — por diseño, para estresar cada gatillo, no como muestra representativa de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ya en el historial de gestión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forma PROACTIVA,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4d</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admitido solo por el cliente (historial aún no actualizado)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igual, como red de seguridad conversacional</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 (pérdida de empleo)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 antes del NLU</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Hallazgos de esta revisión: 3 bugs reales encontrados y corregidos</w:t>
      </w:r>
    </w:p>
    <w:p>
      <w:pPr>
        <w:spacing w:after="140"/>
      </w:pPr>
      <w:r>
        <w:rPr>
          <w:rFonts w:ascii="Calibri" w:cs="Calibri" w:eastAsia="Calibri" w:hAnsi="Calibri"/>
          <w:sz w:val="22"/>
          <w:szCs w:val="22"/>
        </w:rPr>
        <w:t xml:space="preserve">Ampliar las pruebas para cubrir el agente conversacional de punta a punta —no solo su clasificador de intención aislado— sacó a la luz tres problemas reales que ninguna prueba anterior cubría. Se documentan de forma transparente porque son la evidencia más concreta de que la batería de pruebas agrega valor real:</w:t>
      </w:r>
    </w:p>
    <w:p>
      <w:pPr>
        <w:pStyle w:val="ListParagraph"/>
        <w:numPr>
          <w:ilvl w:val="0"/>
          <w:numId w:val="2"/>
        </w:numPr>
        <w:spacing w:after="80"/>
      </w:pPr>
      <w:r>
        <w:rPr>
          <w:rFonts w:ascii="Calibri" w:cs="Calibri" w:eastAsia="Calibri" w:hAnsi="Calibri"/>
          <w:sz w:val="22"/>
          <w:szCs w:val="22"/>
        </w:rPr>
        <w:t xml:space="preserve">Bug de correctitud (el más serio): "no me sirve" (un rechazo) se clasificaba como ACEPTA, porque "me sirve" es subcadena y su patrón se evaluaba primero — el agente habría registrado que el cliente aceptó algo que en realidad rechazó. Corregido con un lookbehind negativo.</w:t>
      </w:r>
    </w:p>
    <w:p>
      <w:pPr>
        <w:pStyle w:val="ListParagraph"/>
        <w:numPr>
          <w:ilvl w:val="0"/>
          <w:numId w:val="2"/>
        </w:numPr>
        <w:spacing w:after="80"/>
      </w:pPr>
      <w:r>
        <w:rPr>
          <w:rFonts w:ascii="Calibri" w:cs="Calibri" w:eastAsia="Calibri" w:hAnsi="Calibri"/>
          <w:sz w:val="22"/>
          <w:szCs w:val="22"/>
        </w:rPr>
        <w:t xml:space="preserve">Chequeo de seguridad sin efecto: la validación de la respuesta final recorría los identificadores internos en mayúsculas pero nunca usaba el resultado — no bloqueaba nada. Corregido: ahora si un mensaje filtra por error un código interno, se bloquea su envío.</w:t>
      </w:r>
    </w:p>
    <w:p>
      <w:pPr>
        <w:pStyle w:val="ListParagraph"/>
        <w:numPr>
          <w:ilvl w:val="0"/>
          <w:numId w:val="2"/>
        </w:numPr>
        <w:spacing w:after="80"/>
      </w:pPr>
      <w:r>
        <w:rPr>
          <w:rFonts w:ascii="Calibri" w:cs="Calibri" w:eastAsia="Calibri" w:hAnsi="Calibri"/>
          <w:sz w:val="22"/>
          <w:szCs w:val="22"/>
        </w:rPr>
        <w:t xml:space="preserve">Regla de negocio incompleta: existía una función para detectar incumplimiento reciente que nunca se conectó — el sistema solo escalaba si el cliente lo admitía. Ahora se revisa proactivamente contra el historial de gestión (escenario 4c), dejando la detección conversacional como red de seguridad (escenario 4d).</w:t>
      </w:r>
    </w:p>
    <w:p>
      <w:pPr>
        <w:spacing w:after="140"/>
      </w:pPr>
      <w:r>
        <w:rPr>
          <w:rFonts w:ascii="Calibri" w:cs="Calibri" w:eastAsia="Calibri" w:hAnsi="Calibri"/>
          <w:sz w:val="22"/>
          <w:szCs w:val="22"/>
        </w:rPr>
        <w:t xml:space="preserve">Ninguno de los tres era visible probando cada capa por separado; los tres solo se manifiestan al combinar señales de punta a punta — la razón por la que la sección 6.1 ahora incluye una capa completa de pruebas del agente conversacional, no solo de clasificación de intención.</w:t>
      </w:r>
    </w:p>
    <w:p>
      <w:pPr>
        <w:pStyle w:val="Heading2"/>
        <w:spacing w:after="140" w:before="280"/>
      </w:pPr>
      <w:r>
        <w:rPr>
          <w:rFonts w:ascii="Calibri" w:cs="Calibri" w:eastAsia="Calibri" w:hAnsi="Calibri"/>
          <w:b/>
          <w:bCs/>
          <w:color w:val="1F3B57"/>
        </w:rPr>
        <w:t xml:space="preserve">6.4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6.5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con un modelo de tipo uplift, en vez del orden fijo actual por severidad de mora — investigado en la sección 5.6: requiere que el motor de preaprobación exponga las alternativas candidatas al momento del scoring, hoy ausentes de oot.csv.</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pPr>
        <w:pStyle w:val="ListParagraph"/>
        <w:numPr>
          <w:ilvl w:val="0"/>
          <w:numId w:val="2"/>
        </w:numPr>
        <w:spacing w:after="80"/>
      </w:pPr>
      <w:r>
        <w:rPr>
          <w:rFonts w:ascii="Calibri" w:cs="Calibri" w:eastAsia="Calibri" w:hAnsi="Calibri"/>
          <w:sz w:val="22"/>
          <w:szCs w:val="22"/>
        </w:rPr>
        <w:t xml:space="preserve">Mantener la práctica de correr la suite completa de integración (no solo pruebas unitarias por capa) cada vez que se agregue o cambie un patrón léxico — es la única forma en que los hallazgos de la sección 6.3 se detectan antes de producción.</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 Yo guié la metodología a seguir en cada etapa, validando y contrastando los resultados frente a los supuestos y parámetros de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Mi rol</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e identificación de variables no disponibles en oot / con señal contemporánea alta</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Validé esa decisión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(solo información conocida antes del mes a predecir)</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Revisé la lógica y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Definí el criterio de éxito (F1) y revisé los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Definí las reglas de negocio, el alcance y la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Revisé, ajusté y validé el contenido antes de la entrega</w:t>
            </w:r>
          </w:p>
        </w:tc>
      </w:tr>
    </w:tbl>
    <w:p>
      <w:pPr>
        <w:spacing w:after="140"/>
      </w:pPr>
      <w:r>
        <w:rPr>
          <w:rFonts w:ascii="Calibri" w:cs="Calibri" w:eastAsia="Calibri" w:hAnsi="Calibri"/>
          <w:sz w:val="22"/>
          <w:szCs w:val="22"/>
        </w:rPr>
        <w:t xml:space="preserve">Yo además repliqué el pipeline completo (Parte 1 y Parte 2) en mi propio entorno local, paso a paso, como verificación independiente de principio a fin antes de la entrega (ver README.md, sección "Cómo reproducir"). 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Anexo F — Supuestos, Asunciones y Limitaciones (Consolidado)</w:t>
      </w:r>
    </w:p>
    <w:p>
      <w:pPr>
        <w:spacing w:after="140"/>
      </w:pPr>
      <w:r>
        <w:rPr>
          <w:rFonts w:ascii="Calibri" w:cs="Calibri" w:eastAsia="Calibri" w:hAnsi="Calibri"/>
          <w:sz w:val="22"/>
          <w:szCs w:val="22"/>
        </w:rPr>
        <w:t xml:space="preserve">Esta sección reúne en un solo lugar, por tema, los supuestos y limitaciones que ya se mencionan a lo largo del documento — no introduce hallazgos nuevos, es un punto único de referencia para quien revise la entrega. Cada punto indica dónde encontrar el detalle y la evidencia completa.</w:t>
      </w:r>
    </w:p>
    <w:p>
      <w:pPr>
        <w:pStyle w:val="Heading2"/>
        <w:spacing w:after="140" w:before="280"/>
      </w:pPr>
      <w:r>
        <w:rPr>
          <w:rFonts w:ascii="Calibri" w:cs="Calibri" w:eastAsia="Calibri" w:hAnsi="Calibri"/>
          <w:b/>
          <w:bCs/>
          <w:color w:val="1F3B57"/>
        </w:rPr>
        <w:t xml:space="preserve">9.1 Supuestos del modelo estadístico (Parte 1)</w:t>
      </w:r>
    </w:p>
    <w:p>
      <w:pPr>
        <w:pStyle w:val="ListParagraph"/>
        <w:numPr>
          <w:ilvl w:val="0"/>
          <w:numId w:val="2"/>
        </w:numPr>
        <w:spacing w:after="80"/>
      </w:pPr>
      <w:r>
        <w:rPr>
          <w:rFonts w:ascii="Calibri" w:cs="Calibri" w:eastAsia="Calibri" w:hAnsi="Calibri"/>
          <w:sz w:val="22"/>
          <w:szCs w:val="22"/>
        </w:rPr>
        <w:t xml:space="preserve">Supuesto general de todo modelo predictivo entrenado con datos históricos: se asume que el comportamiento reciente de los clientes y de la cartera es representativo de lo que va a ocurrir en el mes inmediatamente siguiente (enero 2024). Un cambio estructural repentino (choque macroeconómico, cambio de política de cartera, etc.) no estaría capturado por el modelo hasta que existan datos de ese nuevo régimen — de ahí el valor del monitoreo de deriva propuesto en el Anexo D.</w:t>
      </w:r>
    </w:p>
    <w:p>
      <w:pPr>
        <w:pStyle w:val="ListParagraph"/>
        <w:numPr>
          <w:ilvl w:val="0"/>
          <w:numId w:val="2"/>
        </w:numPr>
        <w:spacing w:after="80"/>
      </w:pPr>
      <w:r>
        <w:rPr>
          <w:rFonts w:ascii="Calibri" w:cs="Calibri" w:eastAsia="Calibri" w:hAnsi="Calibri"/>
          <w:sz w:val="22"/>
          <w:szCs w:val="22"/>
        </w:rPr>
        <w:t xml:space="preserve">Snapshot demográfico de diciembre-2023 usado como "as-of" para enero-2024, porque el panel demográfico no llega a esa fecha (sección 4.1); es un supuesto explícito, no un dato real de enero.</w:t>
      </w:r>
    </w:p>
    <w:p>
      <w:pPr>
        <w:pStyle w:val="ListParagraph"/>
        <w:numPr>
          <w:ilvl w:val="0"/>
          <w:numId w:val="2"/>
        </w:numPr>
        <w:spacing w:after="80"/>
      </w:pPr>
      <w:r>
        <w:rPr>
          <w:rFonts w:ascii="Calibri" w:cs="Calibri" w:eastAsia="Calibri" w:hAnsi="Calibri"/>
          <w:sz w:val="22"/>
          <w:szCs w:val="22"/>
        </w:rPr>
        <w:t xml:space="preserve">Nulos demográficos (~40-50%) tratados como missing informativo (bandera tiene_snapshot_demografico), no imputados (sección 4.3).</w:t>
      </w:r>
    </w:p>
    <w:p>
      <w:pPr>
        <w:pStyle w:val="Heading2"/>
        <w:spacing w:after="140" w:before="280"/>
      </w:pPr>
      <w:r>
        <w:rPr>
          <w:rFonts w:ascii="Calibri" w:cs="Calibri" w:eastAsia="Calibri" w:hAnsi="Calibri"/>
          <w:b/>
          <w:bCs/>
          <w:color w:val="1F3B57"/>
        </w:rPr>
        <w:t xml:space="preserve">9.2 Variables excluidas por disponibilidad y consistencia temporal</w:t>
      </w:r>
    </w:p>
    <w:p>
      <w:pPr>
        <w:pStyle w:val="ListParagraph"/>
        <w:numPr>
          <w:ilvl w:val="0"/>
          <w:numId w:val="2"/>
        </w:numPr>
        <w:spacing w:after="80"/>
      </w:pPr>
      <w:r>
        <w:rPr>
          <w:rFonts w:ascii="Calibri" w:cs="Calibri" w:eastAsia="Calibri" w:hAnsi="Calibri"/>
          <w:sz w:val="22"/>
          <w:szCs w:val="22"/>
        </w:rPr>
        <w:t xml:space="preserve">Varias columnas de trtest.csv no están disponibles en oot.csv y, además, muestran una correlación contemporánea con el target inusualmente alta — consistente con que describen eventos del mismo mes que se quiere predecir. Por ambas razones se excluyeron del conjunto contemporáneo y solo se usan en su versión rezagada (t-1). Detalle, tabla de correlaciones y evidencia gráfica en la sección 4.2 y 4.2.1.</w:t>
      </w:r>
    </w:p>
    <w:p>
      <w:pPr>
        <w:pStyle w:val="Heading2"/>
        <w:spacing w:after="140" w:before="280"/>
      </w:pPr>
      <w:r>
        <w:rPr>
          <w:rFonts w:ascii="Calibri" w:cs="Calibri" w:eastAsia="Calibri" w:hAnsi="Calibri"/>
          <w:b/>
          <w:bCs/>
          <w:color w:val="1F3B57"/>
        </w:rPr>
        <w:t xml:space="preserve">9.3 Cobertura y calidad de datos</w:t>
      </w:r>
    </w:p>
    <w:p>
      <w:pPr>
        <w:pStyle w:val="ListParagraph"/>
        <w:numPr>
          <w:ilvl w:val="0"/>
          <w:numId w:val="2"/>
        </w:numPr>
        <w:spacing w:after="80"/>
      </w:pPr>
      <w:r>
        <w:rPr>
          <w:rFonts w:ascii="Calibri" w:cs="Calibri" w:eastAsia="Calibri" w:hAnsi="Calibri"/>
          <w:sz w:val="22"/>
          <w:szCs w:val="22"/>
        </w:rPr>
        <w:t xml:space="preserve">oot.csv no trae producto/banca/elegibilidad vigente, por lo que ~50% de sus obligaciones son "cold start" y dependen solo de demografía + scores del banco (sección 4.4).</w:t>
      </w:r>
    </w:p>
    <w:p>
      <w:pPr>
        <w:pStyle w:val="ListParagraph"/>
        <w:numPr>
          <w:ilvl w:val="0"/>
          <w:numId w:val="2"/>
        </w:numPr>
        <w:spacing w:after="80"/>
      </w:pPr>
      <w:r>
        <w:rPr>
          <w:rFonts w:ascii="Calibri" w:cs="Calibri" w:eastAsia="Calibri" w:hAnsi="Calibri"/>
          <w:sz w:val="22"/>
          <w:szCs w:val="22"/>
        </w:rPr>
        <w:t xml:space="preserve">El panel master_customer_data es disperso (promedio 1,78 snapshots por cliente en 6 meses); ~20% de los clientes de trtest nunca aparecen en él (sección 4.3).</w:t>
      </w:r>
    </w:p>
    <w:p>
      <w:pPr>
        <w:pStyle w:val="ListParagraph"/>
        <w:numPr>
          <w:ilvl w:val="0"/>
          <w:numId w:val="2"/>
        </w:numPr>
        <w:spacing w:after="80"/>
      </w:pPr>
      <w:r>
        <w:rPr>
          <w:rFonts w:ascii="Calibri" w:cs="Calibri" w:eastAsia="Calibri" w:hAnsi="Calibri"/>
          <w:sz w:val="22"/>
          <w:szCs w:val="22"/>
        </w:rPr>
        <w:t xml:space="preserve">edad_cli contiene valores inválidos (0 y 123 años); se reportan como hallazgo de calidad de datos, no se corrigen, dado el manejo nativo de nulos/outliers de LightGBM (sección 4.3).</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limitaron a 1000% (sección 4.3).</w:t>
      </w:r>
    </w:p>
    <w:p>
      <w:pPr>
        <w:pStyle w:val="Heading2"/>
        <w:spacing w:after="140" w:before="280"/>
      </w:pPr>
      <w:r>
        <w:rPr>
          <w:rFonts w:ascii="Calibri" w:cs="Calibri" w:eastAsia="Calibri" w:hAnsi="Calibri"/>
          <w:b/>
          <w:bCs/>
          <w:color w:val="1F3B57"/>
        </w:rPr>
        <w:t xml:space="preserve">9.4 Configuración de hiperparámetros</w:t>
      </w:r>
    </w:p>
    <w:p>
      <w:pPr>
        <w:pStyle w:val="ListParagraph"/>
        <w:numPr>
          <w:ilvl w:val="0"/>
          <w:numId w:val="2"/>
        </w:numPr>
        <w:spacing w:after="80"/>
      </w:pPr>
      <w:r>
        <w:rPr>
          <w:rFonts w:ascii="Calibri" w:cs="Calibri" w:eastAsia="Calibri" w:hAnsi="Calibri"/>
          <w:sz w:val="22"/>
          <w:szCs w:val="22"/>
        </w:rPr>
        <w:t xml:space="preserve">La configuración final de LightGBM surge de una búsqueda controlada y dirigida, no de una grilla exhaustiva. Ampliarla a una grilla más exigente (grid search, random search u Optuna) sobre un rango más amplio de valores es una oportunidad de mejora, a costa de mayor capacidad de cómputo y tiempo de entrenamiento (detalle y tabla de valores en la sección 4.5.1).</w:t>
      </w:r>
    </w:p>
    <w:p>
      <w:pPr>
        <w:pStyle w:val="Heading2"/>
        <w:spacing w:after="140" w:before="280"/>
      </w:pPr>
      <w:r>
        <w:rPr>
          <w:rFonts w:ascii="Calibri" w:cs="Calibri" w:eastAsia="Calibri" w:hAnsi="Calibri"/>
          <w:b/>
          <w:bCs/>
          <w:color w:val="1F3B57"/>
        </w:rPr>
        <w:t xml:space="preserve">9.5 Supuestos y limitaciones del sistema agéntico (Parte 2)</w:t>
      </w:r>
    </w:p>
    <w:p>
      <w:pPr>
        <w:pStyle w:val="ListParagraph"/>
        <w:numPr>
          <w:ilvl w:val="0"/>
          <w:numId w:val="2"/>
        </w:numPr>
        <w:spacing w:after="80"/>
      </w:pPr>
      <w:r>
        <w:rPr>
          <w:rFonts w:ascii="Calibri" w:cs="Calibri" w:eastAsia="Calibri" w:hAnsi="Calibri"/>
          <w:sz w:val="22"/>
          <w:szCs w:val="22"/>
        </w:rPr>
        <w:t xml:space="preserve">Sin acceso a un LLM real en este entorno: la redacción y la interpretación de intención se implementaron con reglas léxicas/plantillas, con un punto de extensión explícito para reemplazarlas por un LLM real sin tocar el motor de reglas (secciones 5.1 y 5.2).</w:t>
      </w:r>
    </w:p>
    <w:p>
      <w:pPr>
        <w:pStyle w:val="ListParagraph"/>
        <w:numPr>
          <w:ilvl w:val="0"/>
          <w:numId w:val="2"/>
        </w:numPr>
        <w:spacing w:after="80"/>
      </w:pPr>
      <w:r>
        <w:rPr>
          <w:rFonts w:ascii="Calibri" w:cs="Calibri" w:eastAsia="Calibri" w:hAnsi="Calibri"/>
          <w:sz w:val="22"/>
          <w:szCs w:val="22"/>
        </w:rPr>
        <w:t xml:space="preserve">El NLU por reglas es frágil ante lenguaje real no anticipado por los patrones definidos (sección 6.3 documenta un bug real de este tipo, ya corregido, encontrado durante las pruebas).</w:t>
      </w:r>
    </w:p>
    <w:p>
      <w:pPr>
        <w:pStyle w:val="ListParagraph"/>
        <w:numPr>
          <w:ilvl w:val="0"/>
          <w:numId w:val="2"/>
        </w:numPr>
        <w:spacing w:after="80"/>
      </w:pPr>
      <w:r>
        <w:rPr>
          <w:rFonts w:ascii="Calibri" w:cs="Calibri" w:eastAsia="Calibri" w:hAnsi="Calibri"/>
          <w:sz w:val="22"/>
          <w:szCs w:val="22"/>
        </w:rPr>
        <w:t xml:space="preserve">La priorización entre alternativas (Siguiente Mejor Acción) usa un orden fijo por severidad de mora — un supuesto de negocio a validar con el área de política de cartera, no aprendido de datos históricos de aceptación.</w:t>
      </w:r>
    </w:p>
    <w:p>
      <w:pPr>
        <w:pStyle w:val="ListParagraph"/>
        <w:numPr>
          <w:ilvl w:val="0"/>
          <w:numId w:val="2"/>
        </w:numPr>
        <w:spacing w:after="80"/>
      </w:pPr>
      <w:r>
        <w:rPr>
          <w:rFonts w:ascii="Calibri" w:cs="Calibri" w:eastAsia="Calibri" w:hAnsi="Calibri"/>
          <w:sz w:val="22"/>
          <w:szCs w:val="22"/>
        </w:rPr>
        <w:t xml:space="preserve">Se investigó si esa priorización podía basarse en un modelo en vez de una regla fija; no es viable con los datos entregados en esta prueba (columnas de alternativas ofrecidas ausentes en oot.csv), y aun si lo fueran, requeriría una metodología de inferencia causal/uplift por el sesgo de selección en cómo se asignaron las alternativas históricamente — detalle completo en la sección 5.6.</w:t>
      </w:r>
    </w:p>
    <w:p>
      <w:pPr>
        <w:pStyle w:val="ListParagraph"/>
        <w:numPr>
          <w:ilvl w:val="0"/>
          <w:numId w:val="2"/>
        </w:numPr>
        <w:spacing w:after="80"/>
      </w:pPr>
      <w:r>
        <w:rPr>
          <w:rFonts w:ascii="Calibri" w:cs="Calibri" w:eastAsia="Calibri" w:hAnsi="Calibri"/>
          <w:sz w:val="22"/>
          <w:szCs w:val="22"/>
        </w:rPr>
        <w:t xml:space="preserve">La arquitectura de producción descrita en el Anexo D es una propuesta de diseño, no una implementación — el prototipo de esta prueba corre en el entorno local descrito en la sección 10.</w:t>
      </w:r>
    </w:p>
    <w:p>
      <w:pPr>
        <w:pStyle w:val="Heading1"/>
        <w:spacing w:after="140" w:before="280"/>
      </w:pPr>
      <w:r>
        <w:rPr>
          <w:rFonts w:ascii="Calibri" w:cs="Calibri" w:eastAsia="Calibri" w:hAnsi="Calibri"/>
          <w:b/>
          <w:bCs/>
          <w:color w:val="1F3B57"/>
        </w:rPr>
        <w:t xml:space="preserve">10.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escenarios dirigidos y generador de casos sintéticos para la prueba masiva de la Parte 2.</w:t>
      </w:r>
    </w:p>
    <w:p>
      <w:pPr>
        <w:pStyle w:val="ListParagraph"/>
        <w:numPr>
          <w:ilvl w:val="0"/>
          <w:numId w:val="2"/>
        </w:numPr>
        <w:spacing w:after="80"/>
      </w:pPr>
      <w:r>
        <w:rPr>
          <w:rFonts w:ascii="Calibri" w:cs="Calibri" w:eastAsia="Calibri" w:hAnsi="Calibri"/>
          <w:sz w:val="22"/>
          <w:szCs w:val="22"/>
        </w:rPr>
        <w:t xml:space="preserve">tests/ — 49 pruebas automatizadas (pytest): 42 dirigidas + 7 masivas, con cobertura de código.</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60cc1f578b092f732234e52ba68c02224b6d276f.png"/><Relationship Id="rId9" Type="http://schemas.openxmlformats.org/officeDocument/2006/relationships/image" Target="media/3ca542cbdb52f2e2899cd72ad4105ee76d091d1e.png"/><Relationship Id="rId10" Type="http://schemas.openxmlformats.org/officeDocument/2006/relationships/image" Target="media/60fc676a27c0950111ed31e9378ce726b0ef3231.png"/><Relationship Id="rId11" Type="http://schemas.openxmlformats.org/officeDocument/2006/relationships/image" Target="media/5e09586e04f984731b7a482e9fd1ea382ce901be.png"/><Relationship Id="rId12" Type="http://schemas.openxmlformats.org/officeDocument/2006/relationships/image" Target="media/2d47141b29c2ab0ab68c48fceafd40d2c201a12b.png"/><Relationship Id="rId13" Type="http://schemas.openxmlformats.org/officeDocument/2006/relationships/image" Target="media/775a4bcac34d3df82787f801e6a9365ab91e3861.png"/><Relationship Id="rId14" Type="http://schemas.openxmlformats.org/officeDocument/2006/relationships/image" Target="media/11105d1f6471665d2f1cda8ec254bb056d2e9c2b.png"/><Relationship Id="rId15" Type="http://schemas.openxmlformats.org/officeDocument/2006/relationships/image" Target="media/d3989d8d01d33226d0944aadfa82d8d7af42db31.png"/><Relationship Id="rId16" Type="http://schemas.openxmlformats.org/officeDocument/2006/relationships/image" Target="media/e6ecbf2c52c411c989137a32b41478f8e074335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2026-09-23T00:05:10.990Z</dcterms:created>
  <dcterms:modified xsi:type="dcterms:W3CDTF">2026-09-23T00:05:10.990Z</dcterms:modified>
</cp:coreProperties>
</file>

<file path=docProps/custom.xml><?xml version="1.0" encoding="utf-8"?>
<Properties xmlns="http://schemas.openxmlformats.org/officeDocument/2006/custom-properties" xmlns:vt="http://schemas.openxmlformats.org/officeDocument/2006/docPropsVTypes"/>
</file>