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mostró que la mayoría de columnas de trtest (gestiones, pagos, alternativa aplicada, mora fin de mes) no están disponibles en oot.csv y, además, muestran una correlación contemporánea muy alta con el target, consistente con que describen eventos del mismo mes que se quiere predecir (detalle y evidencia en Anexo A, sección 4.2).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49 pruebas automatizadas (42 dirigidas + 7 masivas sobre 400 casos sintéticos, 100% pasan, cobertura de código ~100% en los 7 módulos de decisión/seguridad) + 14 escenarios dirigidos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mantener la disciplina de auditar qué variables están realmente disponibles al momento de decidir — un punto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 variables no disponibles en oot.csv y con señal contemporánea alta frente al target,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Variables excluidas: disponibilidad en oot y consistencia temporal</w:t>
      </w:r>
    </w:p>
    <w:p>
      <w:pPr>
        <w:spacing w:after="140"/>
      </w:pPr>
      <w:r>
        <w:rPr>
          <w:rFonts w:ascii="Calibri" w:cs="Calibri" w:eastAsia="Calibri" w:hAnsi="Calibri"/>
          <w:sz w:val="22"/>
          <w:szCs w:val="22"/>
        </w:rPr>
        <w:t xml:space="preserve">Al comparar trtest.csv contra oot.csv, la mayoría de las columnas de trtest (cant_gestiones, pago_mes, porc_pago_mes, marca_alternativa, dias_mora_fin, saldo_capital, entre otras) no están disponibles en oot. Adicionalmente, al revisar su correlación con la variable respuesta, estas mismas columnas muestran una correlación contemporánea inusualmente alta, consistente con que describen eventos ocurridos durante el mismo mes de la variable que se quiere predecir. Por ambas razones — no disponibilidad en oot y esa señal contemporánea difícil de justificar como predictiva — se decidió no usarlas en su versión del mismo mes: usarlas así habría producido un modelo con métricas artificialmente altas en validación, pero poco útil en producción, porque esa información no está disponible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de respaldo: correlación contemporánea vs. rezagada</w:t>
      </w:r>
    </w:p>
    <w:p>
      <w:pPr>
        <w:spacing w:after="140"/>
      </w:pPr>
      <w:r>
        <w:rPr>
          <w:rFonts w:ascii="Calibri" w:cs="Calibri" w:eastAsia="Calibri" w:hAnsi="Calibri"/>
          <w:sz w:val="22"/>
          <w:szCs w:val="22"/>
        </w:rPr>
        <w:t xml:space="preserve">notebooks/01_eda.py mide, para cada columna, su correlación con el target en versión contemporánea (mismo mes) contra su versión rezagada a t-1. La caída es notoria y es coherente con que la correlación contemporánea refleja información no disponible al momento real de la decisión, más que señal predictiva propia: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las columnas recién descritas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3"/>
        <w:spacing w:after="140" w:before="280"/>
      </w:pPr>
      <w:r>
        <w:rPr>
          <w:rFonts w:ascii="Calibri" w:cs="Calibri" w:eastAsia="Calibri" w:hAnsi="Calibri"/>
          <w:b/>
          <w:bCs/>
          <w:color w:val="1F3B57"/>
        </w:rPr>
        <w:t xml:space="preserve">4.5.1 Configuración de hiperparámetros</w:t>
      </w:r>
    </w:p>
    <w:p>
      <w:pPr>
        <w:spacing w:after="140"/>
      </w:pPr>
      <w:r>
        <w:rPr>
          <w:rFonts w:ascii="Calibri" w:cs="Calibri" w:eastAsia="Calibri" w:hAnsi="Calibri"/>
          <w:sz w:val="22"/>
          <w:szCs w:val="22"/>
        </w:rPr>
        <w:t xml:space="preserve">La configuración final de LightGBM surge de una búsqueda controlada y dirigida —no una grilla exhaustiva— apoyada en buenas prácticas conocidas para boosting sobre datos tabulares con riesgo de sobreajuste: regularización vía muestreo de filas y columnas, tamaño mínimo de hoja, y early stopping sobre el conjunto de validación: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Hiperparámetro</w:t>
            </w:r>
          </w:p>
        </w:tc>
        <w:tc>
          <w:tcPr>
            <w:tcW w:type="dxa" w:w="2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 final</w:t>
            </w:r>
          </w:p>
        </w:tc>
        <w:tc>
          <w:tcPr>
            <w:tcW w:type="dxa" w:w="43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learning_rate</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Paso de aprendizaje conservador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num_leaves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63</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Complejidad del árbol</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min_data_in_leaf</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100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Evita hojas sobreajustadas a pocos casos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feature_fraction</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columnas por árbol (regularización)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bagging_fraction</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filas por iteración (regularización)</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early_stopping_rounds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50</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Detiene el entrenamiento si valid no mejora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num_boost_round (máx.)</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2000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Techo; mejor iteración real alcanzada: 370</w:t>
            </w:r>
          </w:p>
        </w:tc>
      </w:tr>
    </w:tbl>
    <w:p>
      <w:pPr>
        <w:spacing w:after="140"/>
      </w:pPr>
      <w:r>
        <w:rPr>
          <w:rFonts w:ascii="Calibri" w:cs="Calibri" w:eastAsia="Calibri" w:hAnsi="Calibri"/>
          <w:sz w:val="22"/>
          <w:szCs w:val="22"/>
        </w:rPr>
        <w:t xml:space="preserve">Random Forest y Regresión Logística (los otros dos modelos comparados en la sección 4.5) usan igualmente una configuración fija con el mismo criterio de regularización (p. ej. Random Forest: n_estimators=200, max_depth=12, min_samples_leaf=50), sin una búsqueda adicional sobre ellos, dado que no fueron los modelos seleccionados.</w:t>
      </w:r>
    </w:p>
    <w:p>
      <w:pPr>
        <w:spacing w:after="140"/>
      </w:pPr>
      <w:r>
        <w:rPr>
          <w:rFonts w:ascii="Calibri" w:cs="Calibri" w:eastAsia="Calibri" w:hAnsi="Calibri"/>
          <w:sz w:val="22"/>
          <w:szCs w:val="22"/>
        </w:rPr>
        <w:t xml:space="preserve">Oportunidad de mejora: esta búsqueda dirigida se puede ampliar a una grilla más exigente (grid search, random search u Optuna) sobre un rango más amplio de valores si se quisiera explorar el espacio de hiperparámetros de forma más sistemática — a costa de mayor capacidad de cómputo y tiempo de entrenamiento, no justificado dentro del alcance de esta prueba.</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49 pruebas (42 dirigidas + 7 masivas)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dirigidas y masivas</w:t>
      </w:r>
    </w:p>
    <w:p>
      <w:pPr>
        <w:spacing w:after="140"/>
      </w:pPr>
      <w:r>
        <w:rPr>
          <w:rFonts w:ascii="Calibri" w:cs="Calibri" w:eastAsia="Calibri" w:hAnsi="Calibri"/>
          <w:sz w:val="22"/>
          <w:szCs w:val="22"/>
        </w:rPr>
        <w:t xml:space="preserve">49 pruebas, 100% pasan, de dos tipos complementarios y deliberadamente distintos en su lógica. Cobertura de código (pytest --cov=agentic): 100% en los 7 módulos de decisión/seguridad (reglas de negocio, NBA, guardrails, orquestador, modelos, trazabilidad, generador de casos sintéticos), 99% en el agente conversacional (la única línea sin cubrir es un respaldo defensivo inalcanzable con las 5 acciones actuales).</w:t>
      </w:r>
    </w:p>
    <w:p>
      <w:pPr>
        <w:pStyle w:val="Heading3"/>
        <w:spacing w:after="140" w:before="280"/>
      </w:pPr>
      <w:r>
        <w:rPr>
          <w:rFonts w:ascii="Calibri" w:cs="Calibri" w:eastAsia="Calibri" w:hAnsi="Calibri"/>
          <w:b/>
          <w:bCs/>
          <w:color w:val="1F3B57"/>
        </w:rPr>
        <w:t xml:space="preserve">6.1.1 Pruebas dirigidas (42)</w:t>
      </w:r>
    </w:p>
    <w:p>
      <w:pPr>
        <w:spacing w:after="140"/>
      </w:pPr>
      <w:r>
        <w:rPr>
          <w:rFonts w:ascii="Calibri" w:cs="Calibri" w:eastAsia="Calibri" w:hAnsi="Calibri"/>
          <w:sz w:val="22"/>
          <w:szCs w:val="22"/>
        </w:rPr>
        <w:t xml:space="preserve">Casos puntuales escritos a mano, pensados para validar un comportamiento conocido y servir además como especificación legible del sistema. Organizadas en 6 capas: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3"/>
        <w:spacing w:after="140" w:before="280"/>
      </w:pPr>
      <w:r>
        <w:rPr>
          <w:rFonts w:ascii="Calibri" w:cs="Calibri" w:eastAsia="Calibri" w:hAnsi="Calibri"/>
          <w:b/>
          <w:bCs/>
          <w:color w:val="1F3B57"/>
        </w:rPr>
        <w:t xml:space="preserve">6.1.2 Pruebas masivas (7 pruebas sobre 400 casos sintéticos)</w:t>
      </w:r>
    </w:p>
    <w:p>
      <w:pPr>
        <w:spacing w:after="140"/>
      </w:pPr>
      <w:r>
        <w:rPr>
          <w:rFonts w:ascii="Calibri" w:cs="Calibri" w:eastAsia="Calibri" w:hAnsi="Calibri"/>
          <w:sz w:val="22"/>
          <w:szCs w:val="22"/>
        </w:rPr>
        <w:t xml:space="preserve">Complemento a las pruebas dirigidas: con casos escritos a mano siempre queda la duda de si las garantías se sostienen también en combinaciones no anticipadas. agentic/generador_aleatorio.py genera 400 obligaciones sintéticas con una semilla fija (reproducible), variando aleatoriamente mora, saldo, alternativas preaprobadas (incluyendo casos con más de 3, a propósito), historial de aplicaciones y gestiones (incluyendo incumplimientos dentro y fuera de ventana), restricciones duras y scores. Es deliberadamente sintética y no usa trtest.csv: la suite del sistema agéntico sigue sin depender de los datos confidenciales de la Parte 1 y corre igual en cualquier equipo o en GitHub Actions. Sobre esa muestra se verifican 5 invariantes de negocio que deben cumplirse siempre, sin una sola excepción: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800"/>
        <w:gridCol w:w="3000"/>
      </w:tblGrid>
      <w:tr>
        <w:trPr>
          <w:tblHeader/>
        </w:trPr>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Invariante verificada sobre los 400 casos</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dura → siempre escala, cero alternativas ofrecidas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reciente (≤90 días) → siempre escala, cero ofertas</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Opción de pago ya vigente → nunca recibe una nueva oferta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Ninguna alternativa ofrecida está en cooldown</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Nunca quedan más de 3 alternativas elegibles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bl>
    <w:p>
      <w:pPr>
        <w:spacing w:after="140"/>
      </w:pPr>
      <w:r>
        <w:rPr>
          <w:rFonts w:ascii="Calibri" w:cs="Calibri" w:eastAsia="Calibri" w:hAnsi="Calibri"/>
          <w:sz w:val="22"/>
          <w:szCs w:val="22"/>
        </w:rPr>
        <w:t xml:space="preserve">Más una prueba de forma que protege contra que a futuro se agregue una acción al NBA sin actualizar esta batería. El script agentic/prueba_masiva.py corre la misma simulación por fuera de pytest y guarda el detalle completo en results/resumen_prueba_masiva.json, útil como evidencia sin depender de correr la suite de pruebas.</w:t>
      </w:r>
    </w:p>
    <w:p>
      <w:pPr>
        <w:pStyle w:val="Heading2"/>
        <w:spacing w:after="140" w:before="280"/>
      </w:pPr>
      <w:r>
        <w:rPr>
          <w:rFonts w:ascii="Calibri" w:cs="Calibri" w:eastAsia="Calibri" w:hAnsi="Calibri"/>
          <w:b/>
          <w:bCs/>
          <w:color w:val="1F3B57"/>
        </w:rPr>
        <w:t xml:space="preserve">6.2 Escenarios funcionales dirigidos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 El candidato guio la metodología a seguir en cada etapa, validando y contrastando los resultados frente a los supuestos y parámetros de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e identificación de variables no disponibles en oot / con señal contemporánea alta</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 esa decisión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(solo información conocida antes del mes a predecir)</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El candidato además replicó el pipeline completo (Parte 1 y Parte 2) en su propio entorno local, paso a paso, como verificación independiente de principio a fin antes de la entrega (ver README.md, sección "Cómo reproducir"). 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Anexo F — Supuestos, Asunciones y Limitaciones (Consolidado)</w:t>
      </w:r>
    </w:p>
    <w:p>
      <w:pPr>
        <w:spacing w:after="140"/>
      </w:pPr>
      <w:r>
        <w:rPr>
          <w:rFonts w:ascii="Calibri" w:cs="Calibri" w:eastAsia="Calibri" w:hAnsi="Calibri"/>
          <w:sz w:val="22"/>
          <w:szCs w:val="22"/>
        </w:rPr>
        <w:t xml:space="preserve">Esta sección reúne en un solo lugar, por tema, los supuestos y limitaciones que ya se mencionan a lo largo del documento — no introduce hallazgos nuevos, es un punto único de referencia para quien revise la entrega. Cada punto indica dónde encontrar el detalle y la evidencia completa.</w:t>
      </w:r>
    </w:p>
    <w:p>
      <w:pPr>
        <w:pStyle w:val="Heading2"/>
        <w:spacing w:after="140" w:before="280"/>
      </w:pPr>
      <w:r>
        <w:rPr>
          <w:rFonts w:ascii="Calibri" w:cs="Calibri" w:eastAsia="Calibri" w:hAnsi="Calibri"/>
          <w:b/>
          <w:bCs/>
          <w:color w:val="1F3B57"/>
        </w:rPr>
        <w:t xml:space="preserve">9.1 Supuestos del modelo estadístico (Parte 1)</w:t>
      </w:r>
    </w:p>
    <w:p>
      <w:pPr>
        <w:pStyle w:val="ListParagraph"/>
        <w:numPr>
          <w:ilvl w:val="0"/>
          <w:numId w:val="2"/>
        </w:numPr>
        <w:spacing w:after="80"/>
      </w:pPr>
      <w:r>
        <w:rPr>
          <w:rFonts w:ascii="Calibri" w:cs="Calibri" w:eastAsia="Calibri" w:hAnsi="Calibri"/>
          <w:sz w:val="22"/>
          <w:szCs w:val="22"/>
        </w:rPr>
        <w:t xml:space="preserve">Supuesto general de todo modelo predictivo entrenado con datos históricos: se asume que el comportamiento reciente de los clientes y de la cartera es representativo de lo que va a ocurrir en el mes inmediatamente siguiente (enero 2024). Un cambio estructural repentino (choque macroeconómico, cambio de política de cartera, etc.) no estaría capturado por el modelo hasta que existan datos de ese nuevo régimen — de ahí el valor del monitoreo de deriva propuesto en el Anexo D.</w:t>
      </w:r>
    </w:p>
    <w:p>
      <w:pPr>
        <w:pStyle w:val="ListParagraph"/>
        <w:numPr>
          <w:ilvl w:val="0"/>
          <w:numId w:val="2"/>
        </w:numPr>
        <w:spacing w:after="80"/>
      </w:pPr>
      <w:r>
        <w:rPr>
          <w:rFonts w:ascii="Calibri" w:cs="Calibri" w:eastAsia="Calibri" w:hAnsi="Calibri"/>
          <w:sz w:val="22"/>
          <w:szCs w:val="22"/>
        </w:rPr>
        <w:t xml:space="preserve">Snapshot demográfico de diciembre-2023 usado como "as-of" para enero-2024, porque el panel demográfico no llega a esa fecha (sección 4.1); es un supuesto explícito, no un dato real de enero.</w:t>
      </w:r>
    </w:p>
    <w:p>
      <w:pPr>
        <w:pStyle w:val="ListParagraph"/>
        <w:numPr>
          <w:ilvl w:val="0"/>
          <w:numId w:val="2"/>
        </w:numPr>
        <w:spacing w:after="80"/>
      </w:pPr>
      <w:r>
        <w:rPr>
          <w:rFonts w:ascii="Calibri" w:cs="Calibri" w:eastAsia="Calibri" w:hAnsi="Calibri"/>
          <w:sz w:val="22"/>
          <w:szCs w:val="22"/>
        </w:rPr>
        <w:t xml:space="preserve">Nulos demográficos (~40-50%) tratados como missing informativo (bandera tiene_snapshot_demografico), no imputados (sección 4.3).</w:t>
      </w:r>
    </w:p>
    <w:p>
      <w:pPr>
        <w:pStyle w:val="Heading2"/>
        <w:spacing w:after="140" w:before="280"/>
      </w:pPr>
      <w:r>
        <w:rPr>
          <w:rFonts w:ascii="Calibri" w:cs="Calibri" w:eastAsia="Calibri" w:hAnsi="Calibri"/>
          <w:b/>
          <w:bCs/>
          <w:color w:val="1F3B57"/>
        </w:rPr>
        <w:t xml:space="preserve">9.2 Variables excluidas por disponibilidad y consistencia temporal</w:t>
      </w:r>
    </w:p>
    <w:p>
      <w:pPr>
        <w:pStyle w:val="ListParagraph"/>
        <w:numPr>
          <w:ilvl w:val="0"/>
          <w:numId w:val="2"/>
        </w:numPr>
        <w:spacing w:after="80"/>
      </w:pPr>
      <w:r>
        <w:rPr>
          <w:rFonts w:ascii="Calibri" w:cs="Calibri" w:eastAsia="Calibri" w:hAnsi="Calibri"/>
          <w:sz w:val="22"/>
          <w:szCs w:val="22"/>
        </w:rPr>
        <w:t xml:space="preserve">Varias columnas de trtest.csv no están disponibles en oot.csv y, además, muestran una correlación contemporánea con el target inusualmente alta — consistente con que describen eventos del mismo mes que se quiere predecir. Por ambas razones se excluyeron del conjunto contemporáneo y solo se usan en su versión rezagada (t-1). Detalle, tabla de correlaciones y evidencia gráfica en la sección 4.2 y 4.2.1.</w:t>
      </w:r>
    </w:p>
    <w:p>
      <w:pPr>
        <w:pStyle w:val="Heading2"/>
        <w:spacing w:after="140" w:before="280"/>
      </w:pPr>
      <w:r>
        <w:rPr>
          <w:rFonts w:ascii="Calibri" w:cs="Calibri" w:eastAsia="Calibri" w:hAnsi="Calibri"/>
          <w:b/>
          <w:bCs/>
          <w:color w:val="1F3B57"/>
        </w:rPr>
        <w:t xml:space="preserve">9.3 Cobertura y calidad de datos</w:t>
      </w:r>
    </w:p>
    <w:p>
      <w:pPr>
        <w:pStyle w:val="ListParagraph"/>
        <w:numPr>
          <w:ilvl w:val="0"/>
          <w:numId w:val="2"/>
        </w:numPr>
        <w:spacing w:after="80"/>
      </w:pPr>
      <w:r>
        <w:rPr>
          <w:rFonts w:ascii="Calibri" w:cs="Calibri" w:eastAsia="Calibri" w:hAnsi="Calibri"/>
          <w:sz w:val="22"/>
          <w:szCs w:val="22"/>
        </w:rPr>
        <w:t xml:space="preserve">oot.csv no trae producto/banca/elegibilidad vigente, por lo que ~50% de sus obligaciones son "cold start" y dependen solo de demografía + scores del banco (sección 4.4).</w:t>
      </w:r>
    </w:p>
    <w:p>
      <w:pPr>
        <w:pStyle w:val="ListParagraph"/>
        <w:numPr>
          <w:ilvl w:val="0"/>
          <w:numId w:val="2"/>
        </w:numPr>
        <w:spacing w:after="80"/>
      </w:pPr>
      <w:r>
        <w:rPr>
          <w:rFonts w:ascii="Calibri" w:cs="Calibri" w:eastAsia="Calibri" w:hAnsi="Calibri"/>
          <w:sz w:val="22"/>
          <w:szCs w:val="22"/>
        </w:rPr>
        <w:t xml:space="preserve">El panel master_customer_data es disperso (promedio 1,78 snapshots por cliente en 6 meses); ~20% de los clientes de trtest nunca aparecen en él (sección 4.3).</w:t>
      </w:r>
    </w:p>
    <w:p>
      <w:pPr>
        <w:pStyle w:val="ListParagraph"/>
        <w:numPr>
          <w:ilvl w:val="0"/>
          <w:numId w:val="2"/>
        </w:numPr>
        <w:spacing w:after="80"/>
      </w:pPr>
      <w:r>
        <w:rPr>
          <w:rFonts w:ascii="Calibri" w:cs="Calibri" w:eastAsia="Calibri" w:hAnsi="Calibri"/>
          <w:sz w:val="22"/>
          <w:szCs w:val="22"/>
        </w:rPr>
        <w:t xml:space="preserve">edad_cli contiene valores inválidos (0 y 123 años); se reportan como hallazgo de calidad de datos, no se corrigen, dado el manejo nativo de nulos/outliers de LightGBM (sección 4.3).</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limitaron a 1000% (sección 4.3).</w:t>
      </w:r>
    </w:p>
    <w:p>
      <w:pPr>
        <w:pStyle w:val="Heading2"/>
        <w:spacing w:after="140" w:before="280"/>
      </w:pPr>
      <w:r>
        <w:rPr>
          <w:rFonts w:ascii="Calibri" w:cs="Calibri" w:eastAsia="Calibri" w:hAnsi="Calibri"/>
          <w:b/>
          <w:bCs/>
          <w:color w:val="1F3B57"/>
        </w:rPr>
        <w:t xml:space="preserve">9.4 Configuración de hiperparámetros</w:t>
      </w:r>
    </w:p>
    <w:p>
      <w:pPr>
        <w:pStyle w:val="ListParagraph"/>
        <w:numPr>
          <w:ilvl w:val="0"/>
          <w:numId w:val="2"/>
        </w:numPr>
        <w:spacing w:after="80"/>
      </w:pPr>
      <w:r>
        <w:rPr>
          <w:rFonts w:ascii="Calibri" w:cs="Calibri" w:eastAsia="Calibri" w:hAnsi="Calibri"/>
          <w:sz w:val="22"/>
          <w:szCs w:val="22"/>
        </w:rPr>
        <w:t xml:space="preserve">La configuración final de LightGBM surge de una búsqueda controlada y dirigida, no de una grilla exhaustiva. Ampliarla a una grilla más exigente (grid search, random search u Optuna) sobre un rango más amplio de valores es una oportunidad de mejora, a costa de mayor capacidad de cómputo y tiempo de entrenamiento (detalle y tabla de valores en la sección 4.5.1).</w:t>
      </w:r>
    </w:p>
    <w:p>
      <w:pPr>
        <w:pStyle w:val="Heading2"/>
        <w:spacing w:after="140" w:before="280"/>
      </w:pPr>
      <w:r>
        <w:rPr>
          <w:rFonts w:ascii="Calibri" w:cs="Calibri" w:eastAsia="Calibri" w:hAnsi="Calibri"/>
          <w:b/>
          <w:bCs/>
          <w:color w:val="1F3B57"/>
        </w:rPr>
        <w:t xml:space="preserve">9.5 Supuestos y limitaciones del sistema agéntico (Parte 2)</w:t>
      </w:r>
    </w:p>
    <w:p>
      <w:pPr>
        <w:pStyle w:val="ListParagraph"/>
        <w:numPr>
          <w:ilvl w:val="0"/>
          <w:numId w:val="2"/>
        </w:numPr>
        <w:spacing w:after="80"/>
      </w:pPr>
      <w:r>
        <w:rPr>
          <w:rFonts w:ascii="Calibri" w:cs="Calibri" w:eastAsia="Calibri" w:hAnsi="Calibri"/>
          <w:sz w:val="22"/>
          <w:szCs w:val="22"/>
        </w:rPr>
        <w:t xml:space="preserve">Sin acceso a un LLM real en este entorno: la redacción y la interpretación de intención se implementaron con reglas léxicas/plantillas, con un punto de extensión explícito para reemplazarlas por un LLM real sin tocar el motor de reglas (secciones 5.1 y 5.2).</w:t>
      </w:r>
    </w:p>
    <w:p>
      <w:pPr>
        <w:pStyle w:val="ListParagraph"/>
        <w:numPr>
          <w:ilvl w:val="0"/>
          <w:numId w:val="2"/>
        </w:numPr>
        <w:spacing w:after="80"/>
      </w:pPr>
      <w:r>
        <w:rPr>
          <w:rFonts w:ascii="Calibri" w:cs="Calibri" w:eastAsia="Calibri" w:hAnsi="Calibri"/>
          <w:sz w:val="22"/>
          <w:szCs w:val="22"/>
        </w:rPr>
        <w:t xml:space="preserve">El NLU por reglas es frágil ante lenguaje real no anticipado por los patrones definidos (sección 6.3 documenta un bug real de este tipo, ya corregido, encontrado durante las pruebas).</w:t>
      </w:r>
    </w:p>
    <w:p>
      <w:pPr>
        <w:pStyle w:val="ListParagraph"/>
        <w:numPr>
          <w:ilvl w:val="0"/>
          <w:numId w:val="2"/>
        </w:numPr>
        <w:spacing w:after="80"/>
      </w:pPr>
      <w:r>
        <w:rPr>
          <w:rFonts w:ascii="Calibri" w:cs="Calibri" w:eastAsia="Calibri" w:hAnsi="Calibri"/>
          <w:sz w:val="22"/>
          <w:szCs w:val="22"/>
        </w:rPr>
        <w:t xml:space="preserve">La priorización entre alternativas (Siguiente Mejor Acción) usa un orden fijo por severidad de mora — un supuesto de negocio a validar con el área de política de cartera, no aprendido de datos históricos de aceptación.</w:t>
      </w:r>
    </w:p>
    <w:p>
      <w:pPr>
        <w:pStyle w:val="ListParagraph"/>
        <w:numPr>
          <w:ilvl w:val="0"/>
          <w:numId w:val="2"/>
        </w:numPr>
        <w:spacing w:after="80"/>
      </w:pPr>
      <w:r>
        <w:rPr>
          <w:rFonts w:ascii="Calibri" w:cs="Calibri" w:eastAsia="Calibri" w:hAnsi="Calibri"/>
          <w:sz w:val="22"/>
          <w:szCs w:val="22"/>
        </w:rPr>
        <w:t xml:space="preserve">Se investigó si esa priorización podía basarse en un modelo en vez de una regla fija; no es viable con los datos entregados en esta prueba (columnas de alternativas ofrecidas ausentes en oot.csv), y aun si lo fueran, requeriría una metodología de inferencia causal/uplift por el sesgo de selección en cómo se asignaron las alternativas históricamente — detalle completo en la sección 5.6.</w:t>
      </w:r>
    </w:p>
    <w:p>
      <w:pPr>
        <w:pStyle w:val="ListParagraph"/>
        <w:numPr>
          <w:ilvl w:val="0"/>
          <w:numId w:val="2"/>
        </w:numPr>
        <w:spacing w:after="80"/>
      </w:pPr>
      <w:r>
        <w:rPr>
          <w:rFonts w:ascii="Calibri" w:cs="Calibri" w:eastAsia="Calibri" w:hAnsi="Calibri"/>
          <w:sz w:val="22"/>
          <w:szCs w:val="22"/>
        </w:rPr>
        <w:t xml:space="preserve">La arquitectura de producción descrita en el Anexo D es una propuesta de diseño, no una implementación — el prototipo de esta prueba corre en el entorno local descrito en la sección 10.</w:t>
      </w:r>
    </w:p>
    <w:p>
      <w:pPr>
        <w:pStyle w:val="Heading1"/>
        <w:spacing w:after="140" w:before="280"/>
      </w:pPr>
      <w:r>
        <w:rPr>
          <w:rFonts w:ascii="Calibri" w:cs="Calibri" w:eastAsia="Calibri" w:hAnsi="Calibri"/>
          <w:b/>
          <w:bCs/>
          <w:color w:val="1F3B57"/>
        </w:rPr>
        <w:t xml:space="preserve">10.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escenarios dirigidos y generador de casos sintéticos para la prueba masiva de la Parte 2.</w:t>
      </w:r>
    </w:p>
    <w:p>
      <w:pPr>
        <w:pStyle w:val="ListParagraph"/>
        <w:numPr>
          <w:ilvl w:val="0"/>
          <w:numId w:val="2"/>
        </w:numPr>
        <w:spacing w:after="80"/>
      </w:pPr>
      <w:r>
        <w:rPr>
          <w:rFonts w:ascii="Calibri" w:cs="Calibri" w:eastAsia="Calibri" w:hAnsi="Calibri"/>
          <w:sz w:val="22"/>
          <w:szCs w:val="22"/>
        </w:rPr>
        <w:t xml:space="preserve">tests/ — 49 pruebas automatizadas (pytest): 42 dirigidas + 7 masivas,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0cc1f578b092f732234e52ba68c02224b6d276f.png"/><Relationship Id="rId9" Type="http://schemas.openxmlformats.org/officeDocument/2006/relationships/image" Target="media/bb83ae156ef2d02a1f76195f08c01488d90ec777.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b621400dce7017f700271ae92e6eb55fdfe83d7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2026-09-22T19:03:19.521Z</dcterms:created>
  <dcterms:modified xsi:type="dcterms:W3CDTF">2026-09-22T19:03:19.530Z</dcterms:modified>
</cp:coreProperties>
</file>

<file path=docProps/custom.xml><?xml version="1.0" encoding="utf-8"?>
<Properties xmlns="http://schemas.openxmlformats.org/officeDocument/2006/custom-properties" xmlns:vt="http://schemas.openxmlformats.org/officeDocument/2006/docPropsVTypes"/>
</file>