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4077F5DF"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5800B8">
        <w:rPr>
          <w:rFonts w:ascii="Arial" w:hAnsi="Arial" w:cs="Arial"/>
          <w:b/>
          <w:lang w:eastAsia="es-ES"/>
        </w:rPr>
        <w:t>2</w:t>
      </w:r>
      <w:r w:rsidR="00CE0F16">
        <w:rPr>
          <w:rFonts w:ascii="Arial" w:hAnsi="Arial" w:cs="Arial"/>
          <w:b/>
          <w:lang w:eastAsia="es-ES"/>
        </w:rPr>
        <w:t>a</w:t>
      </w:r>
    </w:p>
    <w:p w14:paraId="301C41A1" w14:textId="18F95A3C"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DA213F">
        <w:rPr>
          <w:rFonts w:ascii="Arial" w:hAnsi="Arial" w:cs="Arial"/>
          <w:color w:val="000000"/>
          <w:lang w:val="es-CL" w:eastAsia="es-ES"/>
        </w:rPr>
        <w:t>Farmacia</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24D7D7DE"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Farmacia</w:t>
      </w:r>
    </w:p>
    <w:p w14:paraId="46A70655" w14:textId="77777777" w:rsidR="00DA213F" w:rsidRDefault="00DA213F" w:rsidP="00DA213F">
      <w:pPr>
        <w:ind w:firstLine="360"/>
        <w:jc w:val="both"/>
      </w:pPr>
      <w:r>
        <w:t xml:space="preserve">La farmacia Remedios del Sur que se encuentra en la región de Magallanes, en la ciudad de Punta Arenas ha notado que sus ventas han aumentado de forma exponencial, donde antiguamente contaban con el desarrollo de emisión de boletas y facturas de forma manual, hoy en día por la cantidad de ventas que se generan, ha visto la necesidad de automatizar estas tareas, por lo cual ha decidido dar un salto tecnológico y solicitar el desarrollo de un sistema que sea de forma web y que permita contar con la trazabilidad de los productos que se han vendido. Esto con la finalidad de poder realizar la solicitud de productos de forma más rápida y eficiente. Las reglas de negocio que explican el funcionamiento de la farmacia son: </w:t>
      </w:r>
    </w:p>
    <w:p w14:paraId="04B95C75" w14:textId="718BDF1D" w:rsidR="00DA213F" w:rsidRDefault="00DA213F" w:rsidP="00DA213F">
      <w:pPr>
        <w:pStyle w:val="Prrafodelista"/>
        <w:numPr>
          <w:ilvl w:val="0"/>
          <w:numId w:val="39"/>
        </w:numPr>
        <w:jc w:val="both"/>
      </w:pPr>
      <w:r>
        <w:t xml:space="preserve">La farmacia cuenta con </w:t>
      </w:r>
      <w:r w:rsidRPr="000B73D6">
        <w:rPr>
          <w:highlight w:val="red"/>
        </w:rPr>
        <w:t>trabajadores</w:t>
      </w:r>
      <w:r>
        <w:t xml:space="preserve">, los cuales se deben registrar para así tener el detalle de los profesionales que realizan la venta de cada producto. </w:t>
      </w:r>
    </w:p>
    <w:p w14:paraId="228ACF32" w14:textId="7F708518" w:rsidR="00DA213F" w:rsidRDefault="00DA213F" w:rsidP="00DA213F">
      <w:pPr>
        <w:pStyle w:val="Prrafodelista"/>
        <w:numPr>
          <w:ilvl w:val="0"/>
          <w:numId w:val="39"/>
        </w:numPr>
        <w:jc w:val="both"/>
      </w:pPr>
      <w:r>
        <w:t xml:space="preserve">Los </w:t>
      </w:r>
      <w:r w:rsidRPr="000B73D6">
        <w:rPr>
          <w:highlight w:val="red"/>
        </w:rPr>
        <w:t>productos</w:t>
      </w:r>
      <w:r>
        <w:t xml:space="preserve"> (fármacos) tiene </w:t>
      </w:r>
      <w:r w:rsidRPr="000B73D6">
        <w:rPr>
          <w:highlight w:val="green"/>
        </w:rPr>
        <w:t>nombre, descripción y la cantidad en mg del componente principal.</w:t>
      </w:r>
      <w:r>
        <w:t xml:space="preserve"> </w:t>
      </w:r>
    </w:p>
    <w:p w14:paraId="7FA9EA0B" w14:textId="26DE1A30" w:rsidR="00DA213F" w:rsidRDefault="00DA213F" w:rsidP="00DA213F">
      <w:pPr>
        <w:pStyle w:val="Prrafodelista"/>
        <w:numPr>
          <w:ilvl w:val="0"/>
          <w:numId w:val="39"/>
        </w:numPr>
        <w:jc w:val="both"/>
      </w:pPr>
      <w:r w:rsidRPr="000B73D6">
        <w:rPr>
          <w:highlight w:val="cyan"/>
        </w:rPr>
        <w:t>Todos los fármacos pertenecen solo a un laboratorio, pero un laboratorio puede tener diversos fármacos.</w:t>
      </w:r>
      <w:r>
        <w:t xml:space="preserve"> </w:t>
      </w:r>
    </w:p>
    <w:p w14:paraId="5EF0ACF6" w14:textId="1CF46C1B" w:rsidR="00DA213F" w:rsidRDefault="00DA213F" w:rsidP="00DA213F">
      <w:pPr>
        <w:pStyle w:val="Prrafodelista"/>
        <w:numPr>
          <w:ilvl w:val="0"/>
          <w:numId w:val="39"/>
        </w:numPr>
        <w:jc w:val="both"/>
      </w:pPr>
      <w:r>
        <w:t xml:space="preserve">Del </w:t>
      </w:r>
      <w:r w:rsidRPr="000B73D6">
        <w:rPr>
          <w:highlight w:val="red"/>
        </w:rPr>
        <w:t>laboratorio</w:t>
      </w:r>
      <w:r>
        <w:t xml:space="preserve"> solo se solicita conocer </w:t>
      </w:r>
      <w:r w:rsidRPr="000B73D6">
        <w:rPr>
          <w:highlight w:val="green"/>
        </w:rPr>
        <w:t>Rut del laboratorio, el nombre y su dirección</w:t>
      </w:r>
      <w:r>
        <w:t xml:space="preserve">. </w:t>
      </w:r>
    </w:p>
    <w:p w14:paraId="6E12C976" w14:textId="3470400C" w:rsidR="00DA213F" w:rsidRDefault="00DA213F" w:rsidP="00DA213F">
      <w:pPr>
        <w:pStyle w:val="Prrafodelista"/>
        <w:numPr>
          <w:ilvl w:val="0"/>
          <w:numId w:val="39"/>
        </w:numPr>
        <w:jc w:val="both"/>
      </w:pPr>
      <w:r>
        <w:t xml:space="preserve">Los </w:t>
      </w:r>
      <w:r w:rsidRPr="000B73D6">
        <w:rPr>
          <w:highlight w:val="red"/>
        </w:rPr>
        <w:t>clientes</w:t>
      </w:r>
      <w:r>
        <w:t xml:space="preserve"> pueden registrarse de forma opcional, solo se solicitará su </w:t>
      </w:r>
      <w:r w:rsidRPr="000B73D6">
        <w:rPr>
          <w:highlight w:val="green"/>
        </w:rPr>
        <w:t>Rut, nombre completo, apellido paterno, apellido materno y correo electrónico</w:t>
      </w:r>
      <w:r>
        <w:t xml:space="preserve">. </w:t>
      </w:r>
    </w:p>
    <w:p w14:paraId="45794688" w14:textId="13720120" w:rsidR="00DA213F" w:rsidRDefault="00DA213F" w:rsidP="00DA213F">
      <w:pPr>
        <w:pStyle w:val="Prrafodelista"/>
        <w:numPr>
          <w:ilvl w:val="0"/>
          <w:numId w:val="39"/>
        </w:numPr>
        <w:jc w:val="both"/>
      </w:pPr>
      <w:r>
        <w:t xml:space="preserve">Las </w:t>
      </w:r>
      <w:r w:rsidRPr="000B73D6">
        <w:rPr>
          <w:highlight w:val="red"/>
        </w:rPr>
        <w:t>boletas o facturas</w:t>
      </w:r>
      <w:r>
        <w:t xml:space="preserve"> deben contener </w:t>
      </w:r>
      <w:r w:rsidRPr="000B73D6">
        <w:rPr>
          <w:highlight w:val="green"/>
        </w:rPr>
        <w:t>en detalle la cantidad de productos que vende, además de indicar el valor de cada producto como el total de estas.</w:t>
      </w:r>
      <w:r>
        <w:t xml:space="preserve"> </w:t>
      </w:r>
    </w:p>
    <w:p w14:paraId="3177E297" w14:textId="39CA9C82" w:rsidR="00DA213F" w:rsidRDefault="00DA213F" w:rsidP="00DA213F">
      <w:pPr>
        <w:pStyle w:val="Prrafodelista"/>
        <w:numPr>
          <w:ilvl w:val="0"/>
          <w:numId w:val="39"/>
        </w:numPr>
        <w:jc w:val="both"/>
      </w:pPr>
      <w:r>
        <w:t xml:space="preserve">Los datos de los trabajadores deben ser: </w:t>
      </w:r>
      <w:r w:rsidRPr="000B73D6">
        <w:rPr>
          <w:highlight w:val="green"/>
        </w:rPr>
        <w:t>Rut, nombre completo, apellido paterno y materno de forma obligatoria, número de contacto opcional, domicilio obligatorio</w:t>
      </w:r>
      <w:r>
        <w:t xml:space="preserve">. </w:t>
      </w:r>
    </w:p>
    <w:p w14:paraId="022ACFE6" w14:textId="7BBB58F0" w:rsidR="00DA213F" w:rsidRDefault="00DA213F" w:rsidP="00DA213F">
      <w:pPr>
        <w:pStyle w:val="Prrafodelista"/>
        <w:numPr>
          <w:ilvl w:val="0"/>
          <w:numId w:val="39"/>
        </w:numPr>
        <w:jc w:val="both"/>
      </w:pPr>
      <w:r>
        <w:t xml:space="preserve">Los productos podrán contar con </w:t>
      </w:r>
      <w:r w:rsidRPr="000B73D6">
        <w:rPr>
          <w:highlight w:val="green"/>
        </w:rPr>
        <w:t>oferta según su tipo, estas ofertas ocurren según fechas relevantes como, por ejemplo: vacaciones, día del padre de la madre, navidad, año nuevo, etc</w:t>
      </w:r>
      <w:r>
        <w:t>.</w:t>
      </w:r>
    </w:p>
    <w:p w14:paraId="741872EC" w14:textId="7C660B85" w:rsidR="00D96D0E" w:rsidRDefault="00DA213F" w:rsidP="00DA213F">
      <w:pPr>
        <w:ind w:firstLine="360"/>
        <w:jc w:val="both"/>
      </w:pPr>
      <w:r>
        <w:t>Como información adicional el cliente nos ha entregado una forma de boleta o factura.</w:t>
      </w:r>
    </w:p>
    <w:p w14:paraId="71D4E32D" w14:textId="77777777" w:rsidR="00DA213F" w:rsidRDefault="00DA213F" w:rsidP="006665B8">
      <w:pPr>
        <w:jc w:val="both"/>
      </w:pPr>
    </w:p>
    <w:p w14:paraId="6E65D6E4" w14:textId="64F8A091" w:rsidR="00DA213F" w:rsidRDefault="00DA213F" w:rsidP="00DA213F">
      <w:pPr>
        <w:jc w:val="center"/>
        <w:rPr>
          <w:rFonts w:ascii="Arial" w:hAnsi="Arial" w:cs="Arial"/>
          <w:b/>
          <w:sz w:val="28"/>
          <w:szCs w:val="28"/>
          <w:lang w:eastAsia="es-ES"/>
        </w:rPr>
      </w:pPr>
      <w:r>
        <w:rPr>
          <w:noProof/>
        </w:rPr>
        <w:lastRenderedPageBreak/>
        <w:drawing>
          <wp:inline distT="0" distB="0" distL="0" distR="0" wp14:anchorId="07582E94" wp14:editId="5CFF85C8">
            <wp:extent cx="5734050" cy="2047875"/>
            <wp:effectExtent l="0" t="0" r="0"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8"/>
                    <a:stretch>
                      <a:fillRect/>
                    </a:stretch>
                  </pic:blipFill>
                  <pic:spPr>
                    <a:xfrm>
                      <a:off x="0" y="0"/>
                      <a:ext cx="5734050" cy="2047875"/>
                    </a:xfrm>
                    <a:prstGeom prst="rect">
                      <a:avLst/>
                    </a:prstGeom>
                  </pic:spPr>
                </pic:pic>
              </a:graphicData>
            </a:graphic>
          </wp:inline>
        </w:drawing>
      </w:r>
    </w:p>
    <w:p w14:paraId="3134B557" w14:textId="77777777" w:rsidR="00DA213F" w:rsidRDefault="00DA213F"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238A4247"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 Simple</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DA213F">
        <w:rPr>
          <w:color w:val="538135" w:themeColor="accent6" w:themeShade="BF"/>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lastRenderedPageBreak/>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77777777" w:rsidR="00BB2E44" w:rsidRPr="00F13C7D" w:rsidRDefault="00BB2E44" w:rsidP="00A72BF6">
      <w:pPr>
        <w:autoSpaceDE w:val="0"/>
        <w:autoSpaceDN w:val="0"/>
        <w:adjustRightInd w:val="0"/>
        <w:jc w:val="both"/>
        <w:rPr>
          <w:rFonts w:ascii="Arial" w:hAnsi="Arial" w:cs="Arial"/>
          <w:sz w:val="18"/>
          <w:szCs w:val="18"/>
          <w:lang w:eastAsia="es-ES"/>
        </w:rPr>
      </w:pPr>
    </w:p>
    <w:sectPr w:rsidR="00BB2E44" w:rsidRPr="00F13C7D" w:rsidSect="004606BE">
      <w:headerReference w:type="default" r:id="rId9"/>
      <w:footerReference w:type="default" r:id="rId10"/>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B90D" w14:textId="77777777" w:rsidR="003C2B72" w:rsidRDefault="003C2B72" w:rsidP="00BF1A22">
      <w:pPr>
        <w:spacing w:before="0" w:after="0"/>
      </w:pPr>
      <w:r>
        <w:separator/>
      </w:r>
    </w:p>
  </w:endnote>
  <w:endnote w:type="continuationSeparator" w:id="0">
    <w:p w14:paraId="1714BBB0" w14:textId="77777777" w:rsidR="003C2B72" w:rsidRDefault="003C2B72"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AA63" w14:textId="77777777" w:rsidR="003C2B72" w:rsidRDefault="003C2B72" w:rsidP="00BF1A22">
      <w:pPr>
        <w:spacing w:before="0" w:after="0"/>
      </w:pPr>
      <w:r>
        <w:separator/>
      </w:r>
    </w:p>
  </w:footnote>
  <w:footnote w:type="continuationSeparator" w:id="0">
    <w:p w14:paraId="6BFB87B5" w14:textId="77777777" w:rsidR="003C2B72" w:rsidRDefault="003C2B72"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8"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9"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4"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7"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0"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7"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3"/>
  </w:num>
  <w:num w:numId="3">
    <w:abstractNumId w:val="17"/>
  </w:num>
  <w:num w:numId="4">
    <w:abstractNumId w:val="34"/>
  </w:num>
  <w:num w:numId="5">
    <w:abstractNumId w:val="5"/>
  </w:num>
  <w:num w:numId="6">
    <w:abstractNumId w:val="38"/>
  </w:num>
  <w:num w:numId="7">
    <w:abstractNumId w:val="27"/>
  </w:num>
  <w:num w:numId="8">
    <w:abstractNumId w:val="20"/>
  </w:num>
  <w:num w:numId="9">
    <w:abstractNumId w:val="3"/>
  </w:num>
  <w:num w:numId="10">
    <w:abstractNumId w:val="36"/>
  </w:num>
  <w:num w:numId="11">
    <w:abstractNumId w:val="25"/>
  </w:num>
  <w:num w:numId="12">
    <w:abstractNumId w:val="32"/>
  </w:num>
  <w:num w:numId="13">
    <w:abstractNumId w:val="11"/>
  </w:num>
  <w:num w:numId="14">
    <w:abstractNumId w:val="16"/>
  </w:num>
  <w:num w:numId="15">
    <w:abstractNumId w:val="8"/>
  </w:num>
  <w:num w:numId="16">
    <w:abstractNumId w:val="31"/>
  </w:num>
  <w:num w:numId="17">
    <w:abstractNumId w:val="1"/>
  </w:num>
  <w:num w:numId="18">
    <w:abstractNumId w:val="23"/>
  </w:num>
  <w:num w:numId="19">
    <w:abstractNumId w:val="24"/>
  </w:num>
  <w:num w:numId="20">
    <w:abstractNumId w:val="35"/>
  </w:num>
  <w:num w:numId="21">
    <w:abstractNumId w:val="18"/>
  </w:num>
  <w:num w:numId="22">
    <w:abstractNumId w:val="14"/>
  </w:num>
  <w:num w:numId="23">
    <w:abstractNumId w:val="6"/>
  </w:num>
  <w:num w:numId="24">
    <w:abstractNumId w:val="2"/>
  </w:num>
  <w:num w:numId="25">
    <w:abstractNumId w:val="21"/>
  </w:num>
  <w:num w:numId="26">
    <w:abstractNumId w:val="22"/>
  </w:num>
  <w:num w:numId="27">
    <w:abstractNumId w:val="12"/>
  </w:num>
  <w:num w:numId="28">
    <w:abstractNumId w:val="15"/>
  </w:num>
  <w:num w:numId="29">
    <w:abstractNumId w:val="13"/>
  </w:num>
  <w:num w:numId="30">
    <w:abstractNumId w:val="37"/>
  </w:num>
  <w:num w:numId="31">
    <w:abstractNumId w:val="4"/>
  </w:num>
  <w:num w:numId="32">
    <w:abstractNumId w:val="28"/>
  </w:num>
  <w:num w:numId="33">
    <w:abstractNumId w:val="26"/>
  </w:num>
  <w:num w:numId="34">
    <w:abstractNumId w:val="9"/>
  </w:num>
  <w:num w:numId="35">
    <w:abstractNumId w:val="19"/>
  </w:num>
  <w:num w:numId="36">
    <w:abstractNumId w:val="29"/>
  </w:num>
  <w:num w:numId="37">
    <w:abstractNumId w:val="7"/>
  </w:num>
  <w:num w:numId="38">
    <w:abstractNumId w:val="30"/>
  </w:num>
  <w:num w:numId="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B73D6"/>
    <w:rsid w:val="000C6899"/>
    <w:rsid w:val="000D2924"/>
    <w:rsid w:val="000D353B"/>
    <w:rsid w:val="000D4170"/>
    <w:rsid w:val="000D4793"/>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2B72"/>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56CAB"/>
    <w:rsid w:val="004578B0"/>
    <w:rsid w:val="004606BE"/>
    <w:rsid w:val="0046260A"/>
    <w:rsid w:val="00471449"/>
    <w:rsid w:val="00472430"/>
    <w:rsid w:val="00472ED1"/>
    <w:rsid w:val="0047335D"/>
    <w:rsid w:val="00476DDA"/>
    <w:rsid w:val="00477142"/>
    <w:rsid w:val="00484500"/>
    <w:rsid w:val="00490100"/>
    <w:rsid w:val="00495639"/>
    <w:rsid w:val="00495DE0"/>
    <w:rsid w:val="004A1742"/>
    <w:rsid w:val="004A20FC"/>
    <w:rsid w:val="004A7707"/>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800B8"/>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2D7F"/>
    <w:rsid w:val="006C3CF2"/>
    <w:rsid w:val="006C5F28"/>
    <w:rsid w:val="006E2076"/>
    <w:rsid w:val="006E2DBC"/>
    <w:rsid w:val="006F3225"/>
    <w:rsid w:val="006F51C0"/>
    <w:rsid w:val="00704CD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6F3B"/>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63BF7"/>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2A1F"/>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0F16"/>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3D"/>
    <w:rsid w:val="00F7738B"/>
    <w:rsid w:val="00F833C2"/>
    <w:rsid w:val="00F90514"/>
    <w:rsid w:val="00F94B8F"/>
    <w:rsid w:val="00FA3280"/>
    <w:rsid w:val="00FA3CEA"/>
    <w:rsid w:val="00FA5458"/>
    <w:rsid w:val="00FA6F05"/>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586</Words>
  <Characters>3224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3803</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José Obreque</cp:lastModifiedBy>
  <cp:revision>9</cp:revision>
  <cp:lastPrinted>2015-03-18T16:52:00Z</cp:lastPrinted>
  <dcterms:created xsi:type="dcterms:W3CDTF">2021-11-08T16:06:00Z</dcterms:created>
  <dcterms:modified xsi:type="dcterms:W3CDTF">2022-02-16T15:21:00Z</dcterms:modified>
</cp:coreProperties>
</file>