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Comunicación entre procesos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¿cómo se comunican los procesos si se supone que están aislados?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PIPES, comunicación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¿cómo hacemos para que no choquen?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implementar sincronización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Ejemplos 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editor de texto a impresora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cualquier aplicación cliente-servidor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IPC [comunicación de procesos]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 el conjunto de mecanismos proporcionados por el sistema operativo para permitir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l0vx8flmgw1a" w:id="0"/>
      <w:bookmarkEnd w:id="0"/>
      <w:r w:rsidDel="00000000" w:rsidR="00000000" w:rsidRPr="00000000">
        <w:rPr>
          <w:rtl w:val="0"/>
        </w:rPr>
        <w:t xml:space="preserve">Técnicas a revisar</w:t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olvged5ckusk" w:id="1"/>
      <w:bookmarkEnd w:id="1"/>
      <w:r w:rsidDel="00000000" w:rsidR="00000000" w:rsidRPr="00000000">
        <w:rPr>
          <w:rtl w:val="0"/>
        </w:rPr>
        <w:t xml:space="preserve">Pipes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cuando los procesos son familia, [mismo arbolito]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tambien se les conoce como anonimos 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son unidireccionales </w:t>
      </w:r>
    </w:p>
    <w:p w:rsidR="00000000" w:rsidDel="00000000" w:rsidP="00000000" w:rsidRDefault="00000000" w:rsidRPr="00000000" w14:paraId="00000015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 ida O de vuelta 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tiene 2 extremos 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-&gt; WRITE ================================= -&gt;READ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desaparece cuando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4769841" cy="2068438"/>
            <wp:effectExtent b="0" l="0" r="0" t="0"/>
            <wp:docPr id="2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6"/>
                    <a:srcRect b="27428" l="9150" r="21581" t="5403"/>
                    <a:stretch>
                      <a:fillRect/>
                    </a:stretch>
                  </pic:blipFill>
                  <pic:spPr>
                    <a:xfrm>
                      <a:off x="0" y="0"/>
                      <a:ext cx="4769841" cy="2068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[PADRES O HIJOS]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[HERMANOS]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622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* ¿cómo los invocamos?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pipe(fd[2]) es una llamada del sistema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fd[0] lectura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fd[1] escritura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Las tuberías deben de ser de un único proceso, el kernel te da una memoria temporal para poder hacerlo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recuerda que esto se debe de invocar ANTES del fork, para que se encuentre en ambas memorias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Para especializar el proposito debemos de anular las conexiones del pipe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es de lectura</w:t>
      </w:r>
    </w:p>
    <w:p w:rsidR="00000000" w:rsidDel="00000000" w:rsidP="00000000" w:rsidRDefault="00000000" w:rsidRPr="00000000" w14:paraId="0000002E">
      <w:pPr>
        <w:ind w:firstLine="720"/>
        <w:rPr/>
      </w:pPr>
      <w:r w:rsidDel="00000000" w:rsidR="00000000" w:rsidRPr="00000000">
        <w:rPr>
          <w:rtl w:val="0"/>
        </w:rPr>
        <w:t xml:space="preserve">tienes que quitar la escritura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</w:t>
        <w:tab/>
        <w:t xml:space="preserve">Si es de escritura </w:t>
      </w:r>
    </w:p>
    <w:p w:rsidR="00000000" w:rsidDel="00000000" w:rsidP="00000000" w:rsidRDefault="00000000" w:rsidRPr="00000000" w14:paraId="00000031">
      <w:pPr>
        <w:ind w:firstLine="720"/>
        <w:rPr/>
      </w:pPr>
      <w:r w:rsidDel="00000000" w:rsidR="00000000" w:rsidRPr="00000000">
        <w:rPr>
          <w:rtl w:val="0"/>
        </w:rPr>
        <w:t xml:space="preserve">tienes que quitar la lectura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Esto es para que no se entren en conflictos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¿porque debemos de crear el pipe antes del fork?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Pues para que en memoria, los procesos que se desean comunicar tengan las herramientas necesarias para poder comunicarse entre las tuberias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Para leer y escribir de la tubería se utilizan las llamadas al sistema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7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Ejemplo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Codifica lo siguen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pm29l73dtzvm" w:id="2"/>
      <w:bookmarkEnd w:id="2"/>
      <w:r w:rsidDel="00000000" w:rsidR="00000000" w:rsidRPr="00000000">
        <w:rPr>
          <w:rtl w:val="0"/>
        </w:rPr>
        <w:t xml:space="preserve">Señales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como kill</w:t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bninwekraegc" w:id="3"/>
      <w:bookmarkEnd w:id="3"/>
      <w:r w:rsidDel="00000000" w:rsidR="00000000" w:rsidRPr="00000000">
        <w:rPr>
          <w:rtl w:val="0"/>
        </w:rPr>
        <w:t xml:space="preserve">FIFOs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similar a los pipes, pero no son anónimos</w:t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p64attnal09l" w:id="4"/>
      <w:bookmarkEnd w:id="4"/>
      <w:r w:rsidDel="00000000" w:rsidR="00000000" w:rsidRPr="00000000">
        <w:rPr>
          <w:rtl w:val="0"/>
        </w:rPr>
        <w:t xml:space="preserve">Memoria compartida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Colas de mensajes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semáforos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jpg"/><Relationship Id="rId10" Type="http://schemas.openxmlformats.org/officeDocument/2006/relationships/image" Target="media/image5.jpg"/><Relationship Id="rId12" Type="http://schemas.openxmlformats.org/officeDocument/2006/relationships/image" Target="media/image2.jpg"/><Relationship Id="rId9" Type="http://schemas.openxmlformats.org/officeDocument/2006/relationships/image" Target="media/image6.jpg"/><Relationship Id="rId5" Type="http://schemas.openxmlformats.org/officeDocument/2006/relationships/styles" Target="styles.xml"/><Relationship Id="rId6" Type="http://schemas.openxmlformats.org/officeDocument/2006/relationships/image" Target="media/image7.jpg"/><Relationship Id="rId7" Type="http://schemas.openxmlformats.org/officeDocument/2006/relationships/image" Target="media/image1.pn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